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40"/>
        </w:rPr>
      </w:pPr>
      <w:bookmarkStart w:id="2" w:name="_GoBack"/>
      <w:bookmarkEnd w:id="2"/>
    </w:p>
    <w:p>
      <w:pPr>
        <w:spacing w:line="360" w:lineRule="auto"/>
        <w:jc w:val="center"/>
        <w:rPr>
          <w:b/>
          <w:bCs/>
          <w:sz w:val="32"/>
          <w:szCs w:val="40"/>
        </w:rPr>
      </w:pPr>
      <w:r>
        <w:rPr>
          <w:rFonts w:hint="eastAsia"/>
          <w:b/>
          <w:bCs/>
          <w:sz w:val="32"/>
          <w:szCs w:val="40"/>
        </w:rPr>
        <w:t>赠予证明</w:t>
      </w:r>
    </w:p>
    <w:p>
      <w:pPr>
        <w:spacing w:line="360" w:lineRule="auto"/>
        <w:ind w:firstLine="480" w:firstLineChars="200"/>
        <w:rPr>
          <w:sz w:val="24"/>
        </w:rPr>
      </w:pPr>
    </w:p>
    <w:p>
      <w:pPr>
        <w:spacing w:line="360" w:lineRule="auto"/>
        <w:ind w:firstLine="480" w:firstLineChars="200"/>
      </w:pPr>
      <w:r>
        <w:rPr>
          <w:rFonts w:hint="eastAsia"/>
          <w:sz w:val="24"/>
        </w:rPr>
        <w:t>兹证明，本实验室于</w:t>
      </w:r>
      <w:r>
        <w:rPr>
          <w:rFonts w:ascii="Times New Roman" w:hAnsi="Times New Roman" w:cs="Times New Roman"/>
          <w:sz w:val="24"/>
        </w:rPr>
        <w:t>2019年09月01日将101份非洲猪瘟病毒抗体阳性血清，赠予</w:t>
      </w:r>
      <w:r>
        <w:rPr>
          <w:rFonts w:hint="eastAsia" w:ascii="Times New Roman" w:hAnsi="Times New Roman" w:cs="Times New Roman"/>
          <w:sz w:val="24"/>
        </w:rPr>
        <w:t>禾旭（郑州）生物技术有限公司法人鲁龙先生，</w:t>
      </w:r>
      <w:r>
        <w:rPr>
          <w:rFonts w:ascii="Times New Roman" w:hAnsi="Times New Roman" w:cs="Times New Roman"/>
          <w:sz w:val="24"/>
        </w:rPr>
        <w:t>用于研发非洲猪瘟相关诊断试剂。以上阳性血清经英吉纳非洲猪瘟</w:t>
      </w:r>
      <w:r>
        <w:rPr>
          <w:rFonts w:hint="eastAsia" w:ascii="Times New Roman" w:hAnsi="Times New Roman" w:cs="Times New Roman"/>
          <w:sz w:val="24"/>
        </w:rPr>
        <w:t>病毒</w:t>
      </w:r>
      <w:r>
        <w:rPr>
          <w:rFonts w:ascii="Times New Roman" w:hAnsi="Times New Roman" w:cs="Times New Roman"/>
          <w:sz w:val="24"/>
        </w:rPr>
        <w:t>（ASFV）阻断ELISA抗体检测试剂盒</w:t>
      </w:r>
      <w:r>
        <w:rPr>
          <w:rFonts w:hint="eastAsia" w:ascii="Times New Roman" w:hAnsi="Times New Roman" w:cs="Times New Roman"/>
          <w:sz w:val="24"/>
        </w:rPr>
        <w:t>和间接免疫荧光方法检测</w:t>
      </w:r>
      <w:r>
        <w:rPr>
          <w:rFonts w:ascii="Times New Roman" w:hAnsi="Times New Roman" w:cs="Times New Roman"/>
          <w:sz w:val="24"/>
        </w:rPr>
        <w:t>均为非洲猪瘟病毒抗体阳性，经</w:t>
      </w:r>
      <w:r>
        <w:rPr>
          <w:rFonts w:hint="eastAsia" w:ascii="Times New Roman" w:hAnsi="Times New Roman" w:cs="Times New Roman"/>
          <w:sz w:val="24"/>
        </w:rPr>
        <w:t>OIE推荐的</w:t>
      </w:r>
      <w:r>
        <w:rPr>
          <w:rFonts w:ascii="Times New Roman" w:hAnsi="Times New Roman" w:cs="Times New Roman"/>
          <w:sz w:val="24"/>
        </w:rPr>
        <w:t>非洲猪瘟病毒荧光PCR</w:t>
      </w:r>
      <w:r>
        <w:rPr>
          <w:rFonts w:hint="eastAsia" w:ascii="Times New Roman" w:hAnsi="Times New Roman" w:cs="Times New Roman"/>
          <w:sz w:val="24"/>
        </w:rPr>
        <w:t>方法</w:t>
      </w:r>
      <w:r>
        <w:rPr>
          <w:rFonts w:hint="eastAsia"/>
          <w:sz w:val="24"/>
        </w:rPr>
        <w:t>检测均为非洲猪瘟病毒阴性，鉴定报告见附件。</w:t>
      </w:r>
    </w:p>
    <w:p>
      <w:pPr>
        <w:spacing w:line="360" w:lineRule="auto"/>
        <w:ind w:firstLine="480" w:firstLineChars="200"/>
        <w:rPr>
          <w:sz w:val="24"/>
        </w:rPr>
      </w:pPr>
      <w:r>
        <w:rPr>
          <w:rFonts w:hint="eastAsia"/>
          <w:sz w:val="24"/>
        </w:rPr>
        <w:t>特此证明</w:t>
      </w:r>
    </w:p>
    <w:p>
      <w:pPr>
        <w:spacing w:line="360" w:lineRule="auto"/>
        <w:rPr>
          <w:sz w:val="24"/>
        </w:rPr>
      </w:pPr>
    </w:p>
    <w:p>
      <w:pPr>
        <w:spacing w:line="360" w:lineRule="auto"/>
        <w:rPr>
          <w:sz w:val="24"/>
        </w:rPr>
      </w:pPr>
    </w:p>
    <w:p>
      <w:pPr>
        <w:wordWrap w:val="0"/>
        <w:spacing w:line="360" w:lineRule="auto"/>
        <w:jc w:val="right"/>
        <w:rPr>
          <w:sz w:val="24"/>
        </w:rPr>
      </w:pPr>
      <w:bookmarkStart w:id="0" w:name="_Hlk67004183"/>
      <w:bookmarkStart w:id="1" w:name="_Hlk68815119"/>
      <w:r>
        <w:rPr>
          <w:rFonts w:hint="eastAsia"/>
          <w:sz w:val="24"/>
        </w:rPr>
        <w:t>中国农业科学院</w:t>
      </w:r>
      <w:bookmarkEnd w:id="0"/>
      <w:r>
        <w:rPr>
          <w:rFonts w:hint="eastAsia"/>
          <w:sz w:val="24"/>
        </w:rPr>
        <w:t>哈尔滨兽医研究所</w:t>
      </w:r>
    </w:p>
    <w:bookmarkEnd w:id="1"/>
    <w:p>
      <w:pPr>
        <w:spacing w:line="360" w:lineRule="auto"/>
        <w:jc w:val="right"/>
        <w:rPr>
          <w:rFonts w:ascii="Times New Roman" w:hAnsi="Times New Roman" w:cs="Times New Roman"/>
          <w:sz w:val="24"/>
        </w:rPr>
      </w:pPr>
      <w:r>
        <w:rPr>
          <w:rFonts w:ascii="Times New Roman" w:hAnsi="Times New Roman" w:cs="Times New Roman"/>
          <w:sz w:val="24"/>
        </w:rPr>
        <w:t>20</w:t>
      </w:r>
      <w:r>
        <w:rPr>
          <w:rFonts w:hint="eastAsia" w:ascii="Times New Roman" w:hAnsi="Times New Roman" w:cs="Times New Roman"/>
          <w:sz w:val="24"/>
        </w:rPr>
        <w:t>20</w:t>
      </w:r>
      <w:r>
        <w:rPr>
          <w:rFonts w:ascii="Times New Roman" w:hAnsi="Times New Roman" w:cs="Times New Roman"/>
          <w:sz w:val="24"/>
        </w:rPr>
        <w:t>年09月</w:t>
      </w:r>
      <w:r>
        <w:rPr>
          <w:rFonts w:hint="eastAsia" w:ascii="Times New Roman" w:hAnsi="Times New Roman" w:cs="Times New Roman"/>
          <w:sz w:val="24"/>
        </w:rPr>
        <w:t>10</w:t>
      </w:r>
      <w:r>
        <w:rPr>
          <w:rFonts w:ascii="Times New Roman" w:hAnsi="Times New Roman" w:cs="Times New Roman"/>
          <w:sz w:val="24"/>
        </w:rPr>
        <w:t>日</w:t>
      </w:r>
    </w:p>
    <w:p>
      <w:pPr>
        <w:widowControl/>
        <w:jc w:val="left"/>
        <w:rPr>
          <w:rFonts w:ascii="Times New Roman" w:hAnsi="Times New Roman" w:cs="Times New Roman"/>
          <w:sz w:val="24"/>
        </w:rPr>
      </w:pPr>
      <w:r>
        <w:rPr>
          <w:rFonts w:ascii="Times New Roman" w:hAnsi="Times New Roman" w:cs="Times New Roman"/>
          <w:sz w:val="24"/>
        </w:rPr>
        <w:br w:type="page"/>
      </w:r>
    </w:p>
    <w:p>
      <w:pPr>
        <w:spacing w:line="360" w:lineRule="auto"/>
        <w:jc w:val="left"/>
        <w:rPr>
          <w:rFonts w:ascii="Times New Roman" w:hAnsi="Times New Roman" w:cs="Times New Roman"/>
          <w:sz w:val="24"/>
        </w:rPr>
      </w:pPr>
      <w:r>
        <w:rPr>
          <w:rFonts w:hint="eastAsia" w:ascii="Times New Roman" w:hAnsi="Times New Roman" w:cs="Times New Roman"/>
          <w:sz w:val="24"/>
        </w:rPr>
        <w:t>附件</w:t>
      </w:r>
    </w:p>
    <w:p>
      <w:pPr>
        <w:spacing w:line="360" w:lineRule="auto"/>
        <w:jc w:val="center"/>
        <w:rPr>
          <w:rFonts w:ascii="Times New Roman" w:hAnsi="Times New Roman" w:cs="Times New Roman"/>
          <w:b/>
          <w:bCs/>
          <w:sz w:val="32"/>
          <w:szCs w:val="32"/>
        </w:rPr>
      </w:pPr>
      <w:r>
        <w:rPr>
          <w:rFonts w:hint="eastAsia" w:ascii="Times New Roman" w:hAnsi="Times New Roman" w:cs="Times New Roman"/>
          <w:b/>
          <w:bCs/>
          <w:sz w:val="32"/>
          <w:szCs w:val="32"/>
        </w:rPr>
        <w:t>血清鉴定报告</w:t>
      </w:r>
    </w:p>
    <w:p>
      <w:pPr>
        <w:spacing w:line="360" w:lineRule="auto"/>
        <w:ind w:firstLine="482" w:firstLineChars="200"/>
        <w:rPr>
          <w:rFonts w:ascii="Times New Roman" w:hAnsi="Times New Roman" w:eastAsia="仿宋" w:cs="Times New Roman"/>
          <w:color w:val="000000"/>
          <w:kern w:val="0"/>
          <w:sz w:val="24"/>
        </w:rPr>
      </w:pPr>
      <w:r>
        <w:rPr>
          <w:rFonts w:ascii="Times New Roman" w:hAnsi="Times New Roman" w:eastAsia="宋体" w:cs="Times New Roman"/>
          <w:b/>
          <w:color w:val="000000"/>
          <w:kern w:val="0"/>
          <w:sz w:val="24"/>
        </w:rPr>
        <w:t>摘要：</w:t>
      </w:r>
      <w:r>
        <w:rPr>
          <w:rFonts w:hint="eastAsia" w:ascii="Times New Roman" w:hAnsi="Times New Roman" w:eastAsia="仿宋" w:cs="Times New Roman"/>
          <w:color w:val="000000"/>
          <w:kern w:val="0"/>
          <w:sz w:val="24"/>
        </w:rPr>
        <w:t>由中国农业科学院哈尔滨兽医研究所采集的101份血清样品经英吉纳非洲猪瘟病毒（ASFV）阻断ELISA抗体检测试剂盒及间接免疫荧光试验检测均为非洲猪瘟病毒抗体阳性，经OIE推荐的非洲猪瘟病毒荧光PCR方法检测均为非洲猪瘟病毒阴性，以上样品经过70℃灭活60分钟后，置-20℃以下保存。</w:t>
      </w:r>
    </w:p>
    <w:p>
      <w:pPr>
        <w:widowControl/>
        <w:tabs>
          <w:tab w:val="left" w:pos="1134"/>
        </w:tabs>
        <w:wordWrap w:val="0"/>
        <w:spacing w:line="360" w:lineRule="auto"/>
        <w:ind w:firstLine="480"/>
        <w:jc w:val="left"/>
        <w:rPr>
          <w:rFonts w:ascii="Times New Roman" w:hAnsi="Times New Roman" w:eastAsia="宋体" w:cs="Times New Roman"/>
          <w:color w:val="000000"/>
          <w:kern w:val="0"/>
          <w:sz w:val="24"/>
        </w:rPr>
      </w:pPr>
    </w:p>
    <w:p>
      <w:pPr>
        <w:spacing w:line="360" w:lineRule="auto"/>
        <w:ind w:firstLine="482" w:firstLineChars="200"/>
        <w:outlineLvl w:val="2"/>
        <w:rPr>
          <w:rFonts w:ascii="Times New Roman" w:hAnsi="Times New Roman" w:eastAsia="宋体" w:cs="Times New Roman"/>
          <w:b/>
          <w:color w:val="000000"/>
          <w:kern w:val="0"/>
          <w:sz w:val="24"/>
        </w:rPr>
      </w:pPr>
      <w:r>
        <w:rPr>
          <w:rFonts w:ascii="Times New Roman" w:hAnsi="Times New Roman" w:eastAsia="宋体" w:cs="Times New Roman"/>
          <w:b/>
          <w:color w:val="000000"/>
          <w:kern w:val="0"/>
          <w:sz w:val="24"/>
        </w:rPr>
        <w:t>1  材料</w:t>
      </w:r>
    </w:p>
    <w:p>
      <w:pPr>
        <w:widowControl/>
        <w:tabs>
          <w:tab w:val="left" w:pos="1134"/>
        </w:tabs>
        <w:spacing w:line="360" w:lineRule="auto"/>
        <w:ind w:firstLine="480" w:firstLineChars="200"/>
        <w:jc w:val="left"/>
        <w:rPr>
          <w:rFonts w:ascii="Times New Roman" w:hAnsi="Times New Roman" w:eastAsia="宋体" w:cs="Times New Roman"/>
          <w:color w:val="000000"/>
          <w:kern w:val="11"/>
          <w:sz w:val="24"/>
        </w:rPr>
      </w:pPr>
      <w:r>
        <w:rPr>
          <w:rFonts w:hint="eastAsia" w:ascii="Times New Roman" w:hAnsi="Times New Roman" w:eastAsia="宋体" w:cs="Times New Roman"/>
          <w:color w:val="000000"/>
          <w:kern w:val="11"/>
          <w:sz w:val="24"/>
        </w:rPr>
        <w:t>1.1  样品  101份临床样品，由中国农业科学院哈尔滨兽医研究所中心</w:t>
      </w:r>
      <w:r>
        <w:rPr>
          <w:rFonts w:hint="eastAsia"/>
          <w:sz w:val="24"/>
          <w:szCs w:val="32"/>
        </w:rPr>
        <w:t>收集、鉴定</w:t>
      </w:r>
      <w:r>
        <w:rPr>
          <w:rFonts w:hint="eastAsia" w:ascii="Times New Roman" w:hAnsi="Times New Roman" w:eastAsia="宋体" w:cs="Times New Roman"/>
          <w:color w:val="000000"/>
          <w:kern w:val="11"/>
          <w:sz w:val="24"/>
        </w:rPr>
        <w:t>。</w:t>
      </w:r>
    </w:p>
    <w:p>
      <w:pPr>
        <w:tabs>
          <w:tab w:val="left" w:pos="1134"/>
        </w:tabs>
        <w:spacing w:line="360" w:lineRule="auto"/>
        <w:ind w:firstLine="480" w:firstLineChars="200"/>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1.2  </w:t>
      </w:r>
      <w:r>
        <w:rPr>
          <w:rFonts w:hint="eastAsia" w:ascii="Times New Roman" w:hAnsi="Times New Roman" w:eastAsia="宋体" w:cs="Times New Roman"/>
          <w:color w:val="000000"/>
          <w:kern w:val="0"/>
          <w:sz w:val="24"/>
        </w:rPr>
        <w:t>试剂  非洲猪瘟病毒（ASFV）阻断ELISA抗体检测试剂盒，由西班牙INGENASA公司生产；OIE推荐的非洲猪瘟病毒荧光PCR检测试剂，</w:t>
      </w:r>
      <w:r>
        <w:rPr>
          <w:rFonts w:hint="eastAsia" w:ascii="Times New Roman" w:hAnsi="Times New Roman" w:eastAsia="宋体" w:cs="Times New Roman"/>
          <w:color w:val="000000"/>
          <w:kern w:val="11"/>
          <w:sz w:val="24"/>
        </w:rPr>
        <w:t>由中国农业科学院哈尔滨兽医研究所制备</w:t>
      </w:r>
      <w:r>
        <w:rPr>
          <w:rFonts w:hint="eastAsia" w:ascii="Times New Roman" w:hAnsi="Times New Roman" w:eastAsia="宋体" w:cs="Times New Roman"/>
          <w:color w:val="000000"/>
          <w:kern w:val="0"/>
          <w:sz w:val="24"/>
        </w:rPr>
        <w:t>。</w:t>
      </w:r>
    </w:p>
    <w:p>
      <w:pPr>
        <w:tabs>
          <w:tab w:val="left" w:pos="1134"/>
        </w:tabs>
        <w:spacing w:line="360" w:lineRule="auto"/>
        <w:ind w:firstLine="480" w:firstLineChars="200"/>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lang w:val="zh-CN"/>
        </w:rPr>
        <w:t xml:space="preserve">1.3 </w:t>
      </w:r>
      <w:r>
        <w:rPr>
          <w:rFonts w:hint="eastAsia" w:ascii="Times New Roman" w:hAnsi="Times New Roman" w:eastAsia="宋体" w:cs="Times New Roman"/>
          <w:color w:val="000000"/>
          <w:kern w:val="0"/>
          <w:sz w:val="24"/>
          <w:lang w:val="zh-CN"/>
        </w:rPr>
        <w:t xml:space="preserve"> </w:t>
      </w:r>
      <w:r>
        <w:rPr>
          <w:rFonts w:ascii="Times New Roman" w:hAnsi="Times New Roman" w:eastAsia="宋体" w:cs="Times New Roman"/>
          <w:color w:val="000000"/>
          <w:kern w:val="0"/>
          <w:sz w:val="24"/>
          <w:lang w:val="zh-CN"/>
        </w:rPr>
        <w:t>仪器</w:t>
      </w:r>
      <w:r>
        <w:rPr>
          <w:rFonts w:hint="eastAsia" w:ascii="Times New Roman" w:hAnsi="Times New Roman" w:eastAsia="宋体" w:cs="Times New Roman"/>
          <w:color w:val="000000"/>
          <w:kern w:val="0"/>
          <w:sz w:val="24"/>
          <w:lang w:val="zh-CN"/>
        </w:rPr>
        <w:t xml:space="preserve">  </w:t>
      </w:r>
      <w:r>
        <w:rPr>
          <w:rFonts w:ascii="Times New Roman" w:hAnsi="Times New Roman" w:eastAsia="宋体" w:cs="Times New Roman"/>
          <w:color w:val="000000"/>
          <w:kern w:val="0"/>
          <w:sz w:val="24"/>
          <w:lang w:val="zh-CN"/>
        </w:rPr>
        <w:t>荧光PCR仪</w:t>
      </w:r>
      <w:r>
        <w:rPr>
          <w:rFonts w:hint="eastAsia" w:ascii="Times New Roman" w:hAnsi="Times New Roman" w:eastAsia="宋体" w:cs="Times New Roman"/>
          <w:color w:val="000000"/>
          <w:kern w:val="0"/>
          <w:sz w:val="24"/>
          <w:lang w:val="zh-CN"/>
        </w:rPr>
        <w:t>，</w:t>
      </w:r>
      <w:r>
        <w:rPr>
          <w:rFonts w:ascii="Times New Roman" w:hAnsi="Times New Roman" w:eastAsia="宋体" w:cs="Times New Roman"/>
          <w:color w:val="000000"/>
          <w:kern w:val="11"/>
          <w:sz w:val="24"/>
          <w:lang w:val="zh-CN"/>
        </w:rPr>
        <w:t>移液器</w:t>
      </w:r>
      <w:r>
        <w:rPr>
          <w:rFonts w:hint="eastAsia" w:ascii="Times New Roman" w:hAnsi="Times New Roman" w:eastAsia="宋体" w:cs="Times New Roman"/>
          <w:color w:val="000000"/>
          <w:kern w:val="11"/>
          <w:sz w:val="24"/>
          <w:lang w:val="zh-CN"/>
        </w:rPr>
        <w:t>，酶标仪，恒温培养箱。</w:t>
      </w:r>
    </w:p>
    <w:p>
      <w:pPr>
        <w:spacing w:line="360" w:lineRule="auto"/>
        <w:ind w:firstLine="482" w:firstLineChars="200"/>
        <w:outlineLvl w:val="2"/>
        <w:rPr>
          <w:rFonts w:ascii="Times New Roman" w:hAnsi="Times New Roman" w:eastAsia="宋体" w:cs="Times New Roman"/>
          <w:b/>
          <w:color w:val="000000"/>
          <w:kern w:val="0"/>
          <w:sz w:val="24"/>
        </w:rPr>
      </w:pPr>
      <w:r>
        <w:rPr>
          <w:rFonts w:ascii="Times New Roman" w:hAnsi="Times New Roman" w:eastAsia="宋体" w:cs="Times New Roman"/>
          <w:b/>
          <w:color w:val="000000"/>
          <w:kern w:val="0"/>
          <w:sz w:val="24"/>
        </w:rPr>
        <w:t>2  方法</w:t>
      </w:r>
    </w:p>
    <w:p>
      <w:pPr>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w:t>
      </w:r>
      <w:r>
        <w:rPr>
          <w:rFonts w:ascii="Times New Roman" w:hAnsi="Times New Roman" w:eastAsia="宋体" w:cs="Times New Roman"/>
          <w:color w:val="000000"/>
          <w:kern w:val="0"/>
          <w:sz w:val="24"/>
        </w:rPr>
        <w:t xml:space="preserve">.1  </w:t>
      </w:r>
      <w:r>
        <w:rPr>
          <w:rFonts w:hint="eastAsia" w:ascii="Times New Roman" w:hAnsi="Times New Roman" w:eastAsia="宋体" w:cs="Times New Roman"/>
          <w:color w:val="000000"/>
          <w:kern w:val="0"/>
          <w:sz w:val="24"/>
        </w:rPr>
        <w:t>非洲猪瘟病毒</w:t>
      </w:r>
      <w:r>
        <w:rPr>
          <w:rStyle w:val="13"/>
          <w:rFonts w:hint="eastAsia"/>
          <w:kern w:val="11"/>
          <w:sz w:val="24"/>
        </w:rPr>
        <w:t>抗体的</w:t>
      </w:r>
      <w:r>
        <w:rPr>
          <w:rFonts w:hint="eastAsia" w:ascii="Times New Roman" w:hAnsi="Times New Roman" w:eastAsia="宋体" w:cs="Times New Roman"/>
          <w:color w:val="000000"/>
          <w:kern w:val="0"/>
          <w:sz w:val="24"/>
        </w:rPr>
        <w:t>检验  采用</w:t>
      </w:r>
      <w:r>
        <w:rPr>
          <w:rFonts w:ascii="Times New Roman" w:hAnsi="Times New Roman" w:cs="Times New Roman"/>
          <w:kern w:val="0"/>
          <w:sz w:val="24"/>
        </w:rPr>
        <w:t>INGENASA</w:t>
      </w:r>
      <w:r>
        <w:rPr>
          <w:rFonts w:hint="eastAsia" w:ascii="Times New Roman" w:hAnsi="Times New Roman" w:cs="Times New Roman"/>
          <w:kern w:val="0"/>
          <w:sz w:val="24"/>
        </w:rPr>
        <w:t>公司生产的</w:t>
      </w:r>
      <w:r>
        <w:rPr>
          <w:rFonts w:hint="eastAsia" w:ascii="Times New Roman" w:hAnsi="Times New Roman" w:eastAsia="宋体" w:cs="Times New Roman"/>
          <w:color w:val="000000"/>
          <w:kern w:val="0"/>
          <w:sz w:val="24"/>
        </w:rPr>
        <w:t>非洲猪瘟病毒（ASFV）阻断ELISA抗体检测试剂盒及间接免疫荧光试验对采集的101份血清样品进行检测。</w:t>
      </w:r>
    </w:p>
    <w:p>
      <w:pPr>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 xml:space="preserve">2.2  非洲猪瘟病毒核酸的检验 </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采用OIE推荐的非洲猪瘟病毒荧光PCR检测方法对采集的101份血清样品进行检测。</w:t>
      </w:r>
    </w:p>
    <w:p>
      <w:pPr>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2.3</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样品的灭活  将101份血清样品经过70℃灭活60分钟后，置-20℃以下保存。</w:t>
      </w:r>
    </w:p>
    <w:p>
      <w:pPr>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2.4</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间接免疫荧光操作方法</w:t>
      </w:r>
    </w:p>
    <w:p>
      <w:pPr>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highlight w:val="yellow"/>
        </w:rPr>
        <w:t>补充该方法步骤</w:t>
      </w:r>
    </w:p>
    <w:p>
      <w:pPr>
        <w:spacing w:line="360" w:lineRule="auto"/>
        <w:ind w:firstLine="480" w:firstLineChars="200"/>
        <w:rPr>
          <w:rFonts w:ascii="Times New Roman" w:hAnsi="Times New Roman" w:eastAsia="宋体" w:cs="Times New Roman"/>
          <w:color w:val="000000"/>
          <w:kern w:val="0"/>
          <w:sz w:val="24"/>
        </w:rPr>
      </w:pPr>
    </w:p>
    <w:p>
      <w:pPr>
        <w:spacing w:line="360" w:lineRule="auto"/>
        <w:ind w:firstLine="482" w:firstLineChars="200"/>
        <w:outlineLvl w:val="2"/>
        <w:rPr>
          <w:rFonts w:ascii="Times New Roman" w:hAnsi="Times New Roman" w:eastAsia="宋体" w:cs="Times New Roman"/>
          <w:b/>
          <w:color w:val="000000"/>
          <w:kern w:val="0"/>
          <w:sz w:val="24"/>
        </w:rPr>
      </w:pPr>
      <w:r>
        <w:rPr>
          <w:rFonts w:hint="eastAsia" w:ascii="Times New Roman" w:hAnsi="Times New Roman" w:eastAsia="宋体" w:cs="Times New Roman"/>
          <w:b/>
          <w:color w:val="000000"/>
          <w:kern w:val="0"/>
          <w:sz w:val="24"/>
        </w:rPr>
        <w:t>3</w:t>
      </w:r>
      <w:r>
        <w:rPr>
          <w:rFonts w:ascii="Times New Roman" w:hAnsi="Times New Roman" w:eastAsia="宋体" w:cs="Times New Roman"/>
          <w:b/>
          <w:color w:val="000000"/>
          <w:kern w:val="0"/>
          <w:sz w:val="24"/>
        </w:rPr>
        <w:t xml:space="preserve">  </w:t>
      </w:r>
      <w:r>
        <w:rPr>
          <w:rFonts w:hint="eastAsia" w:ascii="Times New Roman" w:hAnsi="Times New Roman" w:eastAsia="宋体" w:cs="Times New Roman"/>
          <w:b/>
          <w:color w:val="000000"/>
          <w:kern w:val="0"/>
          <w:sz w:val="24"/>
        </w:rPr>
        <w:t>结果</w:t>
      </w:r>
    </w:p>
    <w:p>
      <w:pPr>
        <w:spacing w:line="360" w:lineRule="auto"/>
        <w:ind w:firstLine="480" w:firstLineChars="200"/>
        <w:jc w:val="left"/>
        <w:rPr>
          <w:rFonts w:ascii="Times New Roman" w:hAnsi="Times New Roman" w:eastAsia="宋体" w:cs="Times New Roman"/>
          <w:color w:val="000000"/>
          <w:kern w:val="0"/>
          <w:sz w:val="24"/>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color w:val="000000"/>
          <w:kern w:val="0"/>
          <w:sz w:val="24"/>
        </w:rPr>
        <w:t>3</w:t>
      </w:r>
      <w:r>
        <w:rPr>
          <w:rFonts w:ascii="Times New Roman" w:hAnsi="Times New Roman" w:eastAsia="宋体" w:cs="Times New Roman"/>
          <w:color w:val="000000"/>
          <w:kern w:val="0"/>
          <w:sz w:val="24"/>
        </w:rPr>
        <w:t xml:space="preserve">.1  </w:t>
      </w:r>
      <w:r>
        <w:rPr>
          <w:rFonts w:hint="eastAsia" w:ascii="Times New Roman" w:hAnsi="Times New Roman" w:eastAsia="宋体" w:cs="Times New Roman"/>
          <w:kern w:val="11"/>
          <w:sz w:val="24"/>
        </w:rPr>
        <w:t>样品的</w:t>
      </w:r>
      <w:r>
        <w:rPr>
          <w:rFonts w:hint="eastAsia" w:ascii="Times New Roman" w:hAnsi="Times New Roman" w:eastAsia="宋体" w:cs="Times New Roman"/>
          <w:color w:val="000000"/>
          <w:kern w:val="0"/>
          <w:sz w:val="24"/>
        </w:rPr>
        <w:t>检验结果  采用非洲猪瘟病毒（ASFV）阻断ELISA抗体检测试剂盒、间接免疫荧光试验及OIE荧光PCR方法对101份临床样品的检测结果如表1所示。</w:t>
      </w:r>
    </w:p>
    <w:p>
      <w:pPr>
        <w:widowControl/>
        <w:spacing w:line="360" w:lineRule="auto"/>
        <w:jc w:val="center"/>
        <w:rPr>
          <w:rFonts w:ascii="Times New Roman" w:hAnsi="Times New Roman" w:cs="Times New Roman"/>
          <w:sz w:val="24"/>
        </w:rPr>
      </w:pPr>
      <w:r>
        <w:rPr>
          <w:rFonts w:hint="eastAsia" w:ascii="Times New Roman" w:hAnsi="Times New Roman" w:eastAsia="宋体" w:cs="Times New Roman"/>
          <w:color w:val="000000"/>
          <w:kern w:val="0"/>
          <w:sz w:val="24"/>
        </w:rPr>
        <w:t>表1</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血清样品的检验结果</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215"/>
        <w:gridCol w:w="1215"/>
        <w:gridCol w:w="1219"/>
        <w:gridCol w:w="1103"/>
        <w:gridCol w:w="110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blHeader/>
          <w:jc w:val="center"/>
        </w:trPr>
        <w:tc>
          <w:tcPr>
            <w:tcW w:w="916" w:type="pct"/>
            <w:vMerge w:val="restar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编号</w:t>
            </w:r>
          </w:p>
        </w:tc>
        <w:tc>
          <w:tcPr>
            <w:tcW w:w="2141" w:type="pct"/>
            <w:gridSpan w:val="3"/>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INGENASA</w:t>
            </w:r>
          </w:p>
        </w:tc>
        <w:tc>
          <w:tcPr>
            <w:tcW w:w="647" w:type="pct"/>
            <w:vMerge w:val="restart"/>
          </w:tcPr>
          <w:p>
            <w:pPr>
              <w:spacing w:line="300" w:lineRule="auto"/>
              <w:jc w:val="center"/>
              <w:rPr>
                <w:rFonts w:ascii="Times New Roman" w:hAnsi="Times New Roman" w:cs="Times New Roman"/>
                <w:kern w:val="0"/>
                <w:sz w:val="24"/>
              </w:rPr>
            </w:pPr>
            <w:r>
              <w:rPr>
                <w:rFonts w:hint="eastAsia" w:ascii="Times New Roman" w:hAnsi="Times New Roman" w:cs="Times New Roman"/>
                <w:kern w:val="0"/>
                <w:sz w:val="24"/>
              </w:rPr>
              <w:t>IFA</w:t>
            </w:r>
          </w:p>
          <w:p>
            <w:pPr>
              <w:spacing w:line="300" w:lineRule="auto"/>
              <w:jc w:val="center"/>
              <w:rPr>
                <w:rFonts w:ascii="Times New Roman" w:hAnsi="Times New Roman" w:cs="Times New Roman"/>
                <w:kern w:val="0"/>
                <w:sz w:val="24"/>
              </w:rPr>
            </w:pPr>
            <w:r>
              <w:rPr>
                <w:rFonts w:hint="eastAsia" w:ascii="Times New Roman" w:hAnsi="Times New Roman" w:cs="Times New Roman"/>
                <w:kern w:val="0"/>
                <w:sz w:val="24"/>
              </w:rPr>
              <w:t>结果</w:t>
            </w:r>
          </w:p>
        </w:tc>
        <w:tc>
          <w:tcPr>
            <w:tcW w:w="648" w:type="pct"/>
            <w:vMerge w:val="restart"/>
            <w:shd w:val="clear" w:color="auto" w:fill="auto"/>
            <w:noWrap/>
            <w:vAlign w:val="center"/>
          </w:tcPr>
          <w:p>
            <w:pPr>
              <w:spacing w:line="300" w:lineRule="auto"/>
              <w:jc w:val="center"/>
              <w:rPr>
                <w:rFonts w:ascii="Times New Roman" w:hAnsi="Times New Roman" w:cs="Times New Roman"/>
                <w:kern w:val="0"/>
                <w:sz w:val="24"/>
              </w:rPr>
            </w:pPr>
            <w:r>
              <w:rPr>
                <w:rFonts w:hint="eastAsia" w:ascii="Times New Roman" w:hAnsi="Times New Roman" w:cs="Times New Roman"/>
                <w:kern w:val="0"/>
                <w:sz w:val="24"/>
              </w:rPr>
              <w:t>OIE-</w:t>
            </w:r>
            <w:r>
              <w:rPr>
                <w:rFonts w:ascii="Times New Roman" w:hAnsi="Times New Roman" w:cs="Times New Roman"/>
                <w:kern w:val="0"/>
                <w:sz w:val="24"/>
              </w:rPr>
              <w:t>PCR</w:t>
            </w:r>
          </w:p>
        </w:tc>
        <w:tc>
          <w:tcPr>
            <w:tcW w:w="648" w:type="pct"/>
            <w:vMerge w:val="restar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blHeader/>
          <w:jc w:val="center"/>
        </w:trPr>
        <w:tc>
          <w:tcPr>
            <w:tcW w:w="916" w:type="pct"/>
            <w:vMerge w:val="continue"/>
            <w:shd w:val="clear" w:color="auto" w:fill="auto"/>
            <w:noWrap/>
            <w:vAlign w:val="center"/>
          </w:tcPr>
          <w:p>
            <w:pPr>
              <w:widowControl/>
              <w:spacing w:line="300" w:lineRule="auto"/>
              <w:jc w:val="center"/>
              <w:rPr>
                <w:rFonts w:ascii="Times New Roman" w:hAnsi="Times New Roman" w:cs="Times New Roman"/>
                <w:kern w:val="0"/>
                <w:sz w:val="24"/>
              </w:rPr>
            </w:pPr>
          </w:p>
        </w:tc>
        <w:tc>
          <w:tcPr>
            <w:tcW w:w="713" w:type="pct"/>
          </w:tcPr>
          <w:p>
            <w:pPr>
              <w:widowControl/>
              <w:spacing w:line="300" w:lineRule="auto"/>
              <w:jc w:val="center"/>
              <w:rPr>
                <w:rFonts w:hint="eastAsia" w:ascii="Times New Roman" w:hAnsi="Times New Roman" w:cs="Times New Roman"/>
                <w:kern w:val="0"/>
                <w:sz w:val="24"/>
              </w:rPr>
            </w:pPr>
            <w:r>
              <w:rPr>
                <w:rFonts w:hint="eastAsia" w:ascii="Times New Roman" w:hAnsi="Times New Roman" w:cs="Times New Roman"/>
                <w:kern w:val="0"/>
                <w:sz w:val="24"/>
              </w:rPr>
              <w:t>OD值</w:t>
            </w:r>
          </w:p>
        </w:tc>
        <w:tc>
          <w:tcPr>
            <w:tcW w:w="713" w:type="pct"/>
            <w:shd w:val="clear" w:color="auto" w:fill="auto"/>
            <w:noWrap/>
            <w:vAlign w:val="center"/>
          </w:tcPr>
          <w:p>
            <w:pPr>
              <w:widowControl/>
              <w:spacing w:line="300" w:lineRule="auto"/>
              <w:jc w:val="center"/>
              <w:rPr>
                <w:rFonts w:ascii="Times New Roman" w:hAnsi="Times New Roman" w:cs="Times New Roman"/>
                <w:kern w:val="0"/>
                <w:sz w:val="24"/>
              </w:rPr>
            </w:pPr>
            <w:r>
              <w:rPr>
                <w:rFonts w:hint="eastAsia" w:ascii="Times New Roman" w:hAnsi="Times New Roman" w:cs="Times New Roman"/>
                <w:kern w:val="0"/>
                <w:sz w:val="24"/>
              </w:rPr>
              <w:t>X%</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判定</w:t>
            </w:r>
          </w:p>
        </w:tc>
        <w:tc>
          <w:tcPr>
            <w:tcW w:w="647" w:type="pct"/>
            <w:vMerge w:val="continue"/>
          </w:tcPr>
          <w:p>
            <w:pPr>
              <w:widowControl/>
              <w:spacing w:line="300" w:lineRule="auto"/>
              <w:jc w:val="center"/>
              <w:rPr>
                <w:rFonts w:ascii="Times New Roman" w:hAnsi="Times New Roman" w:cs="Times New Roman"/>
                <w:kern w:val="0"/>
                <w:sz w:val="24"/>
              </w:rPr>
            </w:pPr>
          </w:p>
        </w:tc>
        <w:tc>
          <w:tcPr>
            <w:tcW w:w="648" w:type="pct"/>
            <w:vMerge w:val="continue"/>
            <w:shd w:val="clear" w:color="auto" w:fill="auto"/>
            <w:noWrap/>
            <w:vAlign w:val="center"/>
          </w:tcPr>
          <w:p>
            <w:pPr>
              <w:widowControl/>
              <w:spacing w:line="300" w:lineRule="auto"/>
              <w:jc w:val="center"/>
              <w:rPr>
                <w:rFonts w:ascii="Times New Roman" w:hAnsi="Times New Roman" w:cs="Times New Roman"/>
                <w:kern w:val="0"/>
                <w:sz w:val="24"/>
              </w:rPr>
            </w:pPr>
          </w:p>
        </w:tc>
        <w:tc>
          <w:tcPr>
            <w:tcW w:w="648" w:type="pct"/>
            <w:vMerge w:val="continue"/>
            <w:shd w:val="clear" w:color="auto" w:fill="auto"/>
            <w:noWrap/>
            <w:vAlign w:val="center"/>
          </w:tcPr>
          <w:p>
            <w:pPr>
              <w:widowControl/>
              <w:spacing w:line="300" w:lineRule="auto"/>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ASFV01</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0.545</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63.92</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9ml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ASFV02</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0.540</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64.30</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10ml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ASFV03</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0.542</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64.17</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ASFV04</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0.664</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54.46</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ASFV05</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0.628</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57.33</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9ml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ASFV06</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0.673</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53.72</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ASFV07</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0.651</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55.48</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4ml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ASFV08</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0.653</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55.34</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ASFV09</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0.545</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63.89</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ASFV10</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0.630</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57.13</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ASFV11</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0.635</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56.77</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ASFV12</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0.672</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53.78</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4ml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ASFV13</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0.618</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58.09</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ASFV14</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0.653</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55.30</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ASFV15</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0.719</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50.02</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ASFV16</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0.653</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55.34</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ASFV17</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0.672</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53.78</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ASFV18</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0.698</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51.69</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11ml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ASFV19</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0.577</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61.39</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4ml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ASFV20</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0.573</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61.67</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弱阳性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10ml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ASFV21</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0.339</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80.32</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ASFV22</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0.311</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82.59</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4ml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ASFV23</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0.369</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77.93</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ASFV24</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0.380</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77.09</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ASFV25</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0.362</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78.45</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15ml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ASFV26</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0.454</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71.19</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ASFV27</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0.337</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80.46</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ASFV28</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0.402</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75.30</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9ml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ASFV29</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0.450</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71.47</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ASFV30</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0.315</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82.23</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ASFV31</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0.310</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82.66</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ASFV32</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0.365</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78.26</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10ml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ASFV33</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0.355</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79.03</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ASFV34</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0.336</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80.56</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9ml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ASFV35</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0.472</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69.75</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ASFV36</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0.294</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83.90</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ASFV37</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0.325</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81.42</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12ml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ASFV38</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0.321</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81.78</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ASFV39</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0.407</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74.92</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ASFV40</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0.323</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81.56</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9ml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ASFV41</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0.311</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82.57</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ASFV42</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0.456</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70.96</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ASFV43</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0.427</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73.31</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ASFV44</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0.410</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74.65</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ASFV45</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0.297</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83.68</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ASFV46</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0.287</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84.46</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ASFV47</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0.291</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84.13</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ASFV48</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0.294</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83.90</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4ml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ASFV49</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0.318</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81.99</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ASFV50</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0.406</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75.01</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ASFV51</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0.306</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82.95</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12ml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ASFV52</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0.309</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82.71</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ASFV53</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0.401</w:t>
            </w:r>
          </w:p>
        </w:tc>
        <w:tc>
          <w:tcPr>
            <w:tcW w:w="713" w:type="pct"/>
            <w:shd w:val="clear" w:color="auto" w:fill="auto"/>
            <w:noWrap/>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75.39</w:t>
            </w:r>
          </w:p>
        </w:tc>
        <w:tc>
          <w:tcPr>
            <w:tcW w:w="714"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ASFV54</w:t>
            </w:r>
          </w:p>
        </w:tc>
        <w:tc>
          <w:tcPr>
            <w:tcW w:w="713" w:type="pct"/>
          </w:tcPr>
          <w:p>
            <w:pPr>
              <w:widowControl/>
              <w:spacing w:line="300" w:lineRule="auto"/>
              <w:jc w:val="center"/>
              <w:rPr>
                <w:rFonts w:hint="eastAsia" w:ascii="Times New Roman" w:hAnsi="Times New Roman" w:cs="Times New Roman"/>
                <w:kern w:val="0"/>
                <w:sz w:val="24"/>
              </w:rPr>
            </w:pPr>
            <w:r>
              <w:rPr>
                <w:rFonts w:ascii="Times New Roman" w:hAnsi="Times New Roman" w:cs="Times New Roman"/>
                <w:kern w:val="0"/>
                <w:sz w:val="24"/>
              </w:rPr>
              <w:t>0.439</w:t>
            </w:r>
          </w:p>
        </w:tc>
        <w:tc>
          <w:tcPr>
            <w:tcW w:w="713" w:type="pct"/>
            <w:shd w:val="clear" w:color="auto" w:fill="auto"/>
            <w:noWrap/>
          </w:tcPr>
          <w:p>
            <w:pPr>
              <w:spacing w:line="300" w:lineRule="auto"/>
              <w:jc w:val="center"/>
              <w:rPr>
                <w:rFonts w:hint="eastAsia" w:ascii="Times New Roman" w:hAnsi="Times New Roman" w:cs="Times New Roman"/>
                <w:kern w:val="0"/>
                <w:sz w:val="24"/>
              </w:rPr>
            </w:pPr>
            <w:r>
              <w:rPr>
                <w:rFonts w:ascii="Times New Roman" w:hAnsi="Times New Roman" w:cs="Times New Roman"/>
                <w:kern w:val="0"/>
                <w:sz w:val="24"/>
              </w:rPr>
              <w:t>72.33</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ascii="Times New Roman" w:hAnsi="Times New Roman" w:cs="Times New Roman"/>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ASFV55</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0.504</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67.17</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ASFV56</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0.441</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72.19</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9ml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ASFV57</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0.493</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68.07</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ASFV58</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0.398</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75.63</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ASFV59</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0.378</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77.21</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ASFV60</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0.495</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67.89</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9ml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ASFV61</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0.382</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76.92</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ASFV62</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0.432</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72.91</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ASFV63</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0.444</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71.95</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ASFV64</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0.513</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66.45</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4ml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ASFV65</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0.416</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74.20</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ASFV66</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0.533</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64.88</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10ml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ASFV67</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0.412</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74.49</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ASFV68</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0.418</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74.06</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ASFV69</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0.488</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68.46</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ASFV70</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0.461</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70.61</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11ml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ASFV71</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0.527</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65.31</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12ml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ASFV72</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0.434</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72.76</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ASFV73</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0.518</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66.02</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ASFV74</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0.369</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77.93</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ASFV75</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0.472</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69.75</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9ml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ASFV76</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0.428</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73.20</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15ml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ASFV77</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0.468</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70.04</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ASFV78</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0.455</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71.09</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ASFV79</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0.482</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68.89</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ASFV80</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0.441</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72.19</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ASFV81</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0.249</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87.53</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ASFV82</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0.235</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88.65</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ASFV83</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0.233</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88.80</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ASFV84</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0.218</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90.00</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ASFV85</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0.242</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88.09</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7ml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ASFV86</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0.201</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91.31</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ASFV87</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0.179</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93.11</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4ml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ASFV88</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0.264</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86.29</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ASFV89</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0.252</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87.25</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4ml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ASFV90</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0.174</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93.47</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ASFV91</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0.264</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86.29</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4ml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ASFV92</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0.172</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93.63</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12ml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hint="eastAsia" w:ascii="Times New Roman" w:hAnsi="Times New Roman" w:cs="Times New Roman"/>
                <w:kern w:val="0"/>
                <w:sz w:val="24"/>
              </w:rPr>
              <w:t>NC均值</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1.347</w:t>
            </w:r>
          </w:p>
        </w:tc>
        <w:tc>
          <w:tcPr>
            <w:tcW w:w="713" w:type="pct"/>
            <w:shd w:val="clear" w:color="auto" w:fill="auto"/>
            <w:noWrap/>
            <w:vAlign w:val="center"/>
          </w:tcPr>
          <w:p>
            <w:pPr>
              <w:spacing w:line="300" w:lineRule="auto"/>
              <w:jc w:val="center"/>
              <w:rPr>
                <w:rFonts w:ascii="Times New Roman" w:hAnsi="Times New Roman" w:cs="Times New Roman"/>
                <w:kern w:val="0"/>
                <w:sz w:val="24"/>
              </w:rPr>
            </w:pPr>
            <w:r>
              <w:rPr>
                <w:rFonts w:hint="eastAsia" w:ascii="Times New Roman" w:hAnsi="Times New Roman" w:cs="Times New Roman"/>
                <w:kern w:val="0"/>
                <w:sz w:val="24"/>
              </w:rPr>
              <w:t>/</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hint="eastAsia" w:ascii="Times New Roman" w:hAnsi="Times New Roman" w:cs="Times New Roman"/>
                <w:kern w:val="0"/>
                <w:sz w:val="24"/>
              </w:rPr>
              <w:t>/</w:t>
            </w:r>
          </w:p>
        </w:tc>
        <w:tc>
          <w:tcPr>
            <w:tcW w:w="647" w:type="pct"/>
            <w:vAlign w:val="center"/>
          </w:tcPr>
          <w:p>
            <w:pPr>
              <w:widowControl/>
              <w:spacing w:line="300" w:lineRule="auto"/>
              <w:jc w:val="center"/>
              <w:rPr>
                <w:rFonts w:hint="eastAsia" w:cs="Times New Roman" w:asciiTheme="minorEastAsia" w:hAnsiTheme="minorEastAsia"/>
                <w:kern w:val="0"/>
                <w:sz w:val="24"/>
              </w:rPr>
            </w:pPr>
            <w:r>
              <w:rPr>
                <w:rFonts w:hint="eastAsia" w:ascii="Times New Roman" w:hAnsi="Times New Roman" w:cs="Times New Roman"/>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hint="eastAsia" w:ascii="Times New Roman" w:hAnsi="Times New Roman" w:cs="Times New Roman"/>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hint="eastAsia" w:ascii="Times New Roman" w:hAnsi="Times New Roman"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hint="eastAsia" w:ascii="Times New Roman" w:hAnsi="Times New Roman" w:cs="Times New Roman"/>
                <w:kern w:val="0"/>
                <w:sz w:val="24"/>
              </w:rPr>
            </w:pPr>
            <w:r>
              <w:rPr>
                <w:rFonts w:hint="eastAsia" w:ascii="Times New Roman" w:hAnsi="Times New Roman" w:cs="Times New Roman"/>
                <w:kern w:val="0"/>
                <w:sz w:val="24"/>
              </w:rPr>
              <w:t>PC均值</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0.092</w:t>
            </w:r>
          </w:p>
        </w:tc>
        <w:tc>
          <w:tcPr>
            <w:tcW w:w="713" w:type="pct"/>
            <w:shd w:val="clear" w:color="auto" w:fill="auto"/>
            <w:noWrap/>
            <w:vAlign w:val="center"/>
          </w:tcPr>
          <w:p>
            <w:pPr>
              <w:spacing w:line="300" w:lineRule="auto"/>
              <w:jc w:val="center"/>
              <w:rPr>
                <w:rFonts w:hint="eastAsia" w:ascii="Times New Roman" w:hAnsi="Times New Roman" w:cs="Times New Roman"/>
                <w:kern w:val="0"/>
                <w:sz w:val="24"/>
              </w:rPr>
            </w:pPr>
            <w:r>
              <w:rPr>
                <w:rFonts w:hint="eastAsia" w:ascii="Times New Roman" w:hAnsi="Times New Roman" w:cs="Times New Roman"/>
                <w:kern w:val="0"/>
                <w:sz w:val="24"/>
              </w:rPr>
              <w:t>/</w:t>
            </w:r>
          </w:p>
        </w:tc>
        <w:tc>
          <w:tcPr>
            <w:tcW w:w="714" w:type="pct"/>
            <w:shd w:val="clear" w:color="auto" w:fill="auto"/>
            <w:noWrap/>
            <w:vAlign w:val="center"/>
          </w:tcPr>
          <w:p>
            <w:pPr>
              <w:spacing w:line="300" w:lineRule="auto"/>
              <w:jc w:val="center"/>
              <w:rPr>
                <w:rFonts w:hint="eastAsia" w:ascii="Times New Roman" w:hAnsi="Times New Roman" w:cs="Times New Roman"/>
                <w:kern w:val="0"/>
                <w:sz w:val="24"/>
              </w:rPr>
            </w:pPr>
            <w:r>
              <w:rPr>
                <w:rFonts w:hint="eastAsia" w:ascii="Times New Roman" w:hAnsi="Times New Roman" w:cs="Times New Roman"/>
                <w:kern w:val="0"/>
                <w:sz w:val="24"/>
              </w:rPr>
              <w:t>/</w:t>
            </w:r>
          </w:p>
        </w:tc>
        <w:tc>
          <w:tcPr>
            <w:tcW w:w="647" w:type="pct"/>
            <w:vAlign w:val="center"/>
          </w:tcPr>
          <w:p>
            <w:pPr>
              <w:widowControl/>
              <w:spacing w:line="300" w:lineRule="auto"/>
              <w:jc w:val="center"/>
              <w:rPr>
                <w:rFonts w:hint="eastAsia" w:ascii="Times New Roman" w:hAnsi="Times New Roman" w:cs="Times New Roman"/>
                <w:kern w:val="0"/>
                <w:sz w:val="24"/>
              </w:rPr>
            </w:pPr>
            <w:r>
              <w:rPr>
                <w:rFonts w:hint="eastAsia" w:ascii="Times New Roman" w:hAnsi="Times New Roman" w:cs="Times New Roman"/>
                <w:kern w:val="0"/>
                <w:sz w:val="24"/>
              </w:rPr>
              <w:t>/</w:t>
            </w:r>
          </w:p>
        </w:tc>
        <w:tc>
          <w:tcPr>
            <w:tcW w:w="648" w:type="pct"/>
            <w:shd w:val="clear" w:color="auto" w:fill="auto"/>
            <w:noWrap/>
            <w:vAlign w:val="center"/>
          </w:tcPr>
          <w:p>
            <w:pPr>
              <w:widowControl/>
              <w:spacing w:line="300" w:lineRule="auto"/>
              <w:jc w:val="center"/>
              <w:rPr>
                <w:rFonts w:hint="eastAsia" w:ascii="Times New Roman" w:hAnsi="Times New Roman" w:cs="Times New Roman"/>
                <w:kern w:val="0"/>
                <w:sz w:val="24"/>
              </w:rPr>
            </w:pPr>
            <w:r>
              <w:rPr>
                <w:rFonts w:hint="eastAsia" w:ascii="Times New Roman" w:hAnsi="Times New Roman" w:cs="Times New Roman"/>
                <w:kern w:val="0"/>
                <w:sz w:val="24"/>
              </w:rPr>
              <w:t>/</w:t>
            </w:r>
          </w:p>
        </w:tc>
        <w:tc>
          <w:tcPr>
            <w:tcW w:w="648" w:type="pct"/>
            <w:shd w:val="clear" w:color="auto" w:fill="auto"/>
            <w:noWrap/>
            <w:vAlign w:val="center"/>
          </w:tcPr>
          <w:p>
            <w:pPr>
              <w:widowControl/>
              <w:spacing w:line="300" w:lineRule="auto"/>
              <w:jc w:val="center"/>
              <w:rPr>
                <w:rFonts w:hint="eastAsia" w:ascii="Times New Roman" w:hAnsi="Times New Roman" w:cs="Times New Roman"/>
                <w:kern w:val="0"/>
                <w:sz w:val="24"/>
              </w:rPr>
            </w:pPr>
            <w:r>
              <w:rPr>
                <w:rFonts w:hint="eastAsia" w:ascii="Times New Roman" w:hAnsi="Times New Roman"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hint="eastAsia" w:ascii="Times New Roman" w:hAnsi="Times New Roman" w:cs="Times New Roman"/>
                <w:kern w:val="0"/>
                <w:sz w:val="24"/>
              </w:rPr>
            </w:pPr>
            <w:r>
              <w:rPr>
                <w:rFonts w:ascii="Times New Roman" w:hAnsi="Times New Roman" w:cs="Times New Roman"/>
                <w:kern w:val="0"/>
                <w:sz w:val="24"/>
              </w:rPr>
              <w:t>ASFV93</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0.242</w:t>
            </w:r>
          </w:p>
        </w:tc>
        <w:tc>
          <w:tcPr>
            <w:tcW w:w="713" w:type="pct"/>
            <w:shd w:val="clear" w:color="auto" w:fill="auto"/>
            <w:noWrap/>
          </w:tcPr>
          <w:p>
            <w:pPr>
              <w:spacing w:line="300" w:lineRule="auto"/>
              <w:jc w:val="center"/>
              <w:rPr>
                <w:rFonts w:hint="eastAsia" w:ascii="Times New Roman" w:hAnsi="Times New Roman" w:cs="Times New Roman"/>
                <w:kern w:val="0"/>
                <w:sz w:val="24"/>
              </w:rPr>
            </w:pPr>
            <w:r>
              <w:rPr>
                <w:rFonts w:ascii="Times New Roman" w:hAnsi="Times New Roman" w:cs="Times New Roman"/>
                <w:kern w:val="0"/>
                <w:sz w:val="24"/>
              </w:rPr>
              <w:t>88.59</w:t>
            </w:r>
          </w:p>
        </w:tc>
        <w:tc>
          <w:tcPr>
            <w:tcW w:w="714" w:type="pct"/>
            <w:shd w:val="clear" w:color="auto" w:fill="auto"/>
            <w:noWrap/>
            <w:vAlign w:val="center"/>
          </w:tcPr>
          <w:p>
            <w:pPr>
              <w:spacing w:line="300" w:lineRule="auto"/>
              <w:jc w:val="center"/>
              <w:rPr>
                <w:rFonts w:hint="eastAsia"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ascii="Times New Roman" w:hAnsi="Times New Roman" w:cs="Times New Roman"/>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hint="eastAsia" w:ascii="Times New Roman" w:hAnsi="Times New Roman" w:cs="Times New Roman"/>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hint="eastAsia" w:ascii="Times New Roman" w:hAnsi="Times New Roman" w:cs="Times New Roman"/>
                <w:kern w:val="0"/>
                <w:sz w:val="24"/>
              </w:rPr>
            </w:pPr>
            <w:r>
              <w:rPr>
                <w:rFonts w:ascii="Times New Roman" w:hAnsi="Times New Roman" w:cs="Times New Roman"/>
                <w:kern w:val="0"/>
                <w:sz w:val="24"/>
              </w:rPr>
              <w:t>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ASFV94</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0.195</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92.19</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9ml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ASFV95</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0.200</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91.85</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ASFV96</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0.243</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88.51</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ASFV97</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0.234</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89.20</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10ml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ASFV98</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0.185</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92.99</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ASFV99</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0.254</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87.67</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ASFV100</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0.258</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87.37</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hint="eastAsia"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ASFV101</w:t>
            </w:r>
          </w:p>
        </w:tc>
        <w:tc>
          <w:tcPr>
            <w:tcW w:w="713" w:type="pct"/>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0.205</w:t>
            </w:r>
          </w:p>
        </w:tc>
        <w:tc>
          <w:tcPr>
            <w:tcW w:w="713" w:type="pct"/>
            <w:shd w:val="clear" w:color="auto" w:fill="auto"/>
            <w:noWrap/>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91.42</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ascii="Times New Roman" w:hAnsi="Times New Roman" w:cs="Times New Roman"/>
                <w:kern w:val="0"/>
                <w:sz w:val="24"/>
              </w:rPr>
              <w:t>强阳性</w:t>
            </w:r>
          </w:p>
        </w:tc>
        <w:tc>
          <w:tcPr>
            <w:tcW w:w="647" w:type="pct"/>
          </w:tcPr>
          <w:p>
            <w:pPr>
              <w:widowControl/>
              <w:spacing w:line="300" w:lineRule="auto"/>
              <w:jc w:val="center"/>
              <w:rPr>
                <w:rFonts w:hint="eastAsia" w:cs="Times New Roman" w:asciiTheme="minorEastAsia" w:hAnsiTheme="minorEastAsia"/>
                <w:kern w:val="0"/>
                <w:sz w:val="24"/>
              </w:rPr>
            </w:pPr>
            <w:r>
              <w:rPr>
                <w:rFonts w:ascii="Times New Roman" w:hAnsi="Times New Roman" w:cs="Times New Roman"/>
                <w:kern w:val="0"/>
                <w:sz w:val="24"/>
              </w:rPr>
              <w:t>1</w:t>
            </w:r>
            <w:r>
              <w:rPr>
                <w:rFonts w:hint="eastAsia" w:ascii="宋体" w:hAnsi="宋体" w:eastAsia="宋体" w:cs="宋体"/>
                <w:kern w:val="0"/>
                <w:sz w:val="24"/>
              </w:rPr>
              <w:t>∶</w:t>
            </w:r>
            <w:r>
              <w:rPr>
                <w:rFonts w:ascii="Times New Roman" w:hAnsi="Times New Roman" w:cs="Times New Roman"/>
                <w:kern w:val="0"/>
                <w:sz w:val="24"/>
              </w:rPr>
              <w:t>200</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cs="Times New Roman" w:asciiTheme="minorEastAsia" w:hAnsiTheme="minorEastAsia"/>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ascii="Times New Roman" w:hAnsi="Times New Roman" w:cs="Times New Roman"/>
                <w:kern w:val="0"/>
                <w:sz w:val="24"/>
              </w:rPr>
            </w:pPr>
            <w:r>
              <w:rPr>
                <w:rFonts w:hint="eastAsia" w:ascii="Times New Roman" w:hAnsi="Times New Roman" w:cs="Times New Roman"/>
                <w:kern w:val="0"/>
                <w:sz w:val="24"/>
              </w:rPr>
              <w:t>NC均值</w:t>
            </w:r>
          </w:p>
        </w:tc>
        <w:tc>
          <w:tcPr>
            <w:tcW w:w="713" w:type="pct"/>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1.399</w:t>
            </w:r>
          </w:p>
        </w:tc>
        <w:tc>
          <w:tcPr>
            <w:tcW w:w="713" w:type="pct"/>
            <w:shd w:val="clear" w:color="auto" w:fill="auto"/>
            <w:noWrap/>
            <w:vAlign w:val="center"/>
          </w:tcPr>
          <w:p>
            <w:pPr>
              <w:spacing w:line="300" w:lineRule="auto"/>
              <w:jc w:val="center"/>
              <w:rPr>
                <w:rFonts w:ascii="Times New Roman" w:hAnsi="Times New Roman" w:cs="Times New Roman"/>
                <w:kern w:val="0"/>
                <w:sz w:val="24"/>
              </w:rPr>
            </w:pPr>
            <w:r>
              <w:rPr>
                <w:rFonts w:hint="eastAsia" w:ascii="Times New Roman" w:hAnsi="Times New Roman" w:cs="Times New Roman"/>
                <w:kern w:val="0"/>
                <w:sz w:val="24"/>
              </w:rPr>
              <w:t>/</w:t>
            </w:r>
          </w:p>
        </w:tc>
        <w:tc>
          <w:tcPr>
            <w:tcW w:w="714" w:type="pct"/>
            <w:shd w:val="clear" w:color="auto" w:fill="auto"/>
            <w:noWrap/>
            <w:vAlign w:val="center"/>
          </w:tcPr>
          <w:p>
            <w:pPr>
              <w:spacing w:line="300" w:lineRule="auto"/>
              <w:jc w:val="center"/>
              <w:rPr>
                <w:rFonts w:ascii="Times New Roman" w:hAnsi="Times New Roman" w:cs="Times New Roman"/>
                <w:kern w:val="0"/>
                <w:sz w:val="24"/>
              </w:rPr>
            </w:pPr>
            <w:r>
              <w:rPr>
                <w:rFonts w:hint="eastAsia" w:ascii="Times New Roman" w:hAnsi="Times New Roman" w:cs="Times New Roman"/>
                <w:kern w:val="0"/>
                <w:sz w:val="24"/>
              </w:rPr>
              <w:t>/</w:t>
            </w:r>
          </w:p>
        </w:tc>
        <w:tc>
          <w:tcPr>
            <w:tcW w:w="647" w:type="pct"/>
            <w:vAlign w:val="center"/>
          </w:tcPr>
          <w:p>
            <w:pPr>
              <w:widowControl/>
              <w:spacing w:line="300" w:lineRule="auto"/>
              <w:jc w:val="center"/>
              <w:rPr>
                <w:rFonts w:ascii="Times New Roman" w:hAnsi="Times New Roman" w:cs="Times New Roman"/>
                <w:kern w:val="0"/>
                <w:sz w:val="24"/>
              </w:rPr>
            </w:pPr>
            <w:r>
              <w:rPr>
                <w:rFonts w:hint="eastAsia" w:ascii="Times New Roman" w:hAnsi="Times New Roman" w:cs="Times New Roman"/>
                <w:kern w:val="0"/>
                <w:sz w:val="24"/>
              </w:rPr>
              <w:t>/</w:t>
            </w:r>
          </w:p>
        </w:tc>
        <w:tc>
          <w:tcPr>
            <w:tcW w:w="648" w:type="pct"/>
            <w:shd w:val="clear" w:color="auto" w:fill="auto"/>
            <w:noWrap/>
            <w:vAlign w:val="center"/>
          </w:tcPr>
          <w:p>
            <w:pPr>
              <w:widowControl/>
              <w:spacing w:line="300" w:lineRule="auto"/>
              <w:jc w:val="center"/>
              <w:rPr>
                <w:rFonts w:cs="Times New Roman" w:asciiTheme="minorEastAsia" w:hAnsiTheme="minorEastAsia"/>
                <w:kern w:val="0"/>
                <w:sz w:val="24"/>
              </w:rPr>
            </w:pPr>
            <w:r>
              <w:rPr>
                <w:rFonts w:hint="eastAsia" w:ascii="Times New Roman" w:hAnsi="Times New Roman" w:cs="Times New Roman"/>
                <w:kern w:val="0"/>
                <w:sz w:val="24"/>
              </w:rPr>
              <w:t>/</w:t>
            </w:r>
          </w:p>
        </w:tc>
        <w:tc>
          <w:tcPr>
            <w:tcW w:w="648" w:type="pct"/>
            <w:shd w:val="clear" w:color="auto" w:fill="auto"/>
            <w:noWrap/>
            <w:vAlign w:val="center"/>
          </w:tcPr>
          <w:p>
            <w:pPr>
              <w:widowControl/>
              <w:spacing w:line="300" w:lineRule="auto"/>
              <w:jc w:val="center"/>
              <w:rPr>
                <w:rFonts w:ascii="Times New Roman" w:hAnsi="Times New Roman" w:cs="Times New Roman"/>
                <w:kern w:val="0"/>
                <w:sz w:val="24"/>
              </w:rPr>
            </w:pPr>
            <w:r>
              <w:rPr>
                <w:rFonts w:hint="eastAsia" w:ascii="Times New Roman" w:hAnsi="Times New Roman"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16" w:type="pct"/>
            <w:shd w:val="clear" w:color="auto" w:fill="auto"/>
            <w:noWrap/>
            <w:vAlign w:val="center"/>
          </w:tcPr>
          <w:p>
            <w:pPr>
              <w:widowControl/>
              <w:spacing w:line="300" w:lineRule="auto"/>
              <w:jc w:val="center"/>
              <w:rPr>
                <w:rFonts w:hint="eastAsia" w:ascii="Times New Roman" w:hAnsi="Times New Roman" w:cs="Times New Roman"/>
                <w:kern w:val="0"/>
                <w:sz w:val="24"/>
              </w:rPr>
            </w:pPr>
            <w:r>
              <w:rPr>
                <w:rFonts w:hint="eastAsia" w:ascii="Times New Roman" w:hAnsi="Times New Roman" w:cs="Times New Roman"/>
                <w:kern w:val="0"/>
                <w:sz w:val="24"/>
              </w:rPr>
              <w:t>PC均值</w:t>
            </w:r>
          </w:p>
        </w:tc>
        <w:tc>
          <w:tcPr>
            <w:tcW w:w="713" w:type="pct"/>
            <w:vAlign w:val="center"/>
          </w:tcPr>
          <w:p>
            <w:pPr>
              <w:widowControl/>
              <w:spacing w:line="300" w:lineRule="auto"/>
              <w:jc w:val="center"/>
              <w:rPr>
                <w:rFonts w:ascii="Times New Roman" w:hAnsi="Times New Roman" w:cs="Times New Roman"/>
                <w:kern w:val="0"/>
                <w:sz w:val="24"/>
              </w:rPr>
            </w:pPr>
            <w:r>
              <w:rPr>
                <w:rFonts w:ascii="Times New Roman" w:hAnsi="Times New Roman" w:cs="Times New Roman"/>
                <w:kern w:val="0"/>
                <w:sz w:val="24"/>
              </w:rPr>
              <w:t>0.093</w:t>
            </w:r>
          </w:p>
        </w:tc>
        <w:tc>
          <w:tcPr>
            <w:tcW w:w="713" w:type="pct"/>
            <w:shd w:val="clear" w:color="auto" w:fill="auto"/>
            <w:noWrap/>
            <w:vAlign w:val="center"/>
          </w:tcPr>
          <w:p>
            <w:pPr>
              <w:spacing w:line="300" w:lineRule="auto"/>
              <w:jc w:val="center"/>
              <w:rPr>
                <w:rFonts w:hint="eastAsia" w:ascii="Times New Roman" w:hAnsi="Times New Roman" w:cs="Times New Roman"/>
                <w:kern w:val="0"/>
                <w:sz w:val="24"/>
              </w:rPr>
            </w:pPr>
            <w:r>
              <w:rPr>
                <w:rFonts w:hint="eastAsia" w:ascii="Times New Roman" w:hAnsi="Times New Roman" w:cs="Times New Roman"/>
                <w:kern w:val="0"/>
                <w:sz w:val="24"/>
              </w:rPr>
              <w:t>/</w:t>
            </w:r>
          </w:p>
        </w:tc>
        <w:tc>
          <w:tcPr>
            <w:tcW w:w="714" w:type="pct"/>
            <w:shd w:val="clear" w:color="auto" w:fill="auto"/>
            <w:noWrap/>
            <w:vAlign w:val="center"/>
          </w:tcPr>
          <w:p>
            <w:pPr>
              <w:spacing w:line="300" w:lineRule="auto"/>
              <w:jc w:val="center"/>
              <w:rPr>
                <w:rFonts w:hint="eastAsia" w:ascii="Times New Roman" w:hAnsi="Times New Roman" w:cs="Times New Roman"/>
                <w:kern w:val="0"/>
                <w:sz w:val="24"/>
              </w:rPr>
            </w:pPr>
            <w:r>
              <w:rPr>
                <w:rFonts w:hint="eastAsia" w:ascii="Times New Roman" w:hAnsi="Times New Roman" w:cs="Times New Roman"/>
                <w:kern w:val="0"/>
                <w:sz w:val="24"/>
              </w:rPr>
              <w:t>/</w:t>
            </w:r>
          </w:p>
        </w:tc>
        <w:tc>
          <w:tcPr>
            <w:tcW w:w="647" w:type="pct"/>
            <w:vAlign w:val="center"/>
          </w:tcPr>
          <w:p>
            <w:pPr>
              <w:widowControl/>
              <w:spacing w:line="300" w:lineRule="auto"/>
              <w:jc w:val="center"/>
              <w:rPr>
                <w:rFonts w:hint="eastAsia" w:ascii="Times New Roman" w:hAnsi="Times New Roman" w:cs="Times New Roman"/>
                <w:kern w:val="0"/>
                <w:sz w:val="24"/>
              </w:rPr>
            </w:pPr>
            <w:r>
              <w:rPr>
                <w:rFonts w:hint="eastAsia" w:ascii="Times New Roman" w:hAnsi="Times New Roman" w:cs="Times New Roman"/>
                <w:kern w:val="0"/>
                <w:sz w:val="24"/>
              </w:rPr>
              <w:t>/</w:t>
            </w:r>
          </w:p>
        </w:tc>
        <w:tc>
          <w:tcPr>
            <w:tcW w:w="648" w:type="pct"/>
            <w:shd w:val="clear" w:color="auto" w:fill="auto"/>
            <w:noWrap/>
            <w:vAlign w:val="center"/>
          </w:tcPr>
          <w:p>
            <w:pPr>
              <w:widowControl/>
              <w:spacing w:line="300" w:lineRule="auto"/>
              <w:jc w:val="center"/>
              <w:rPr>
                <w:rFonts w:hint="eastAsia" w:ascii="Times New Roman" w:hAnsi="Times New Roman" w:cs="Times New Roman"/>
                <w:kern w:val="0"/>
                <w:sz w:val="24"/>
              </w:rPr>
            </w:pPr>
            <w:r>
              <w:rPr>
                <w:rFonts w:hint="eastAsia" w:ascii="Times New Roman" w:hAnsi="Times New Roman" w:cs="Times New Roman"/>
                <w:kern w:val="0"/>
                <w:sz w:val="24"/>
              </w:rPr>
              <w:t>/</w:t>
            </w:r>
          </w:p>
        </w:tc>
        <w:tc>
          <w:tcPr>
            <w:tcW w:w="648" w:type="pct"/>
            <w:shd w:val="clear" w:color="auto" w:fill="auto"/>
            <w:noWrap/>
            <w:vAlign w:val="center"/>
          </w:tcPr>
          <w:p>
            <w:pPr>
              <w:widowControl/>
              <w:spacing w:line="300" w:lineRule="auto"/>
              <w:jc w:val="center"/>
              <w:rPr>
                <w:rFonts w:hint="eastAsia" w:ascii="Times New Roman" w:hAnsi="Times New Roman" w:cs="Times New Roman"/>
                <w:kern w:val="0"/>
                <w:sz w:val="24"/>
              </w:rPr>
            </w:pPr>
            <w:r>
              <w:rPr>
                <w:rFonts w:hint="eastAsia" w:ascii="Times New Roman" w:hAnsi="Times New Roman" w:cs="Times New Roman"/>
                <w:kern w:val="0"/>
                <w:sz w:val="24"/>
              </w:rPr>
              <w:t>/</w:t>
            </w:r>
          </w:p>
        </w:tc>
      </w:tr>
    </w:tbl>
    <w:p>
      <w:pPr>
        <w:spacing w:line="276" w:lineRule="auto"/>
        <w:ind w:firstLine="420" w:firstLineChars="200"/>
        <w:jc w:val="left"/>
        <w:rPr>
          <w:rFonts w:ascii="Times New Roman" w:hAnsi="Times New Roman" w:cs="Times New Roman"/>
          <w:szCs w:val="21"/>
        </w:rPr>
      </w:pPr>
      <w:r>
        <w:rPr>
          <w:rFonts w:hint="eastAsia" w:ascii="Times New Roman" w:hAnsi="Times New Roman" w:cs="Times New Roman"/>
          <w:szCs w:val="21"/>
        </w:rPr>
        <w:t>注：英吉纳试剂盒判定标准：阻断率X%≥50%为阳性，阻断率X%≤40%为阳性，介于两者之间的为可疑。</w:t>
      </w:r>
    </w:p>
    <w:p>
      <w:pPr>
        <w:widowControl/>
        <w:jc w:val="left"/>
        <w:rPr>
          <w:rFonts w:ascii="Times New Roman" w:hAnsi="Times New Roman" w:eastAsia="宋体" w:cs="Times New Roman"/>
          <w:color w:val="000000"/>
          <w:kern w:val="0"/>
          <w:sz w:val="24"/>
        </w:rPr>
      </w:pPr>
    </w:p>
    <w:p>
      <w:pPr>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3.2</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非洲猪瘟病毒阳性血清（</w:t>
      </w:r>
      <w:r>
        <w:rPr>
          <w:rFonts w:ascii="Times New Roman" w:hAnsi="Times New Roman" w:eastAsia="宋体" w:cs="Times New Roman"/>
          <w:color w:val="000000"/>
          <w:kern w:val="0"/>
          <w:sz w:val="24"/>
        </w:rPr>
        <w:t>ASFV101</w:t>
      </w:r>
      <w:r>
        <w:rPr>
          <w:rFonts w:hint="eastAsia" w:ascii="Times New Roman" w:hAnsi="Times New Roman" w:eastAsia="宋体" w:cs="Times New Roman"/>
          <w:color w:val="000000"/>
          <w:kern w:val="0"/>
          <w:sz w:val="24"/>
          <w:vertAlign w:val="superscript"/>
        </w:rPr>
        <w:t>#</w:t>
      </w:r>
      <w:r>
        <w:rPr>
          <w:rFonts w:hint="eastAsia" w:ascii="Times New Roman" w:hAnsi="Times New Roman" w:eastAsia="宋体" w:cs="Times New Roman"/>
          <w:color w:val="000000"/>
          <w:kern w:val="0"/>
          <w:sz w:val="24"/>
        </w:rPr>
        <w:t>）IFA效价测定结果</w:t>
      </w:r>
    </w:p>
    <w:p>
      <w:pPr>
        <w:spacing w:line="360" w:lineRule="auto"/>
        <w:rPr>
          <w:rFonts w:ascii="Times New Roman" w:hAnsi="Times New Roman" w:eastAsia="宋体" w:cs="Times New Roman"/>
          <w:color w:val="000000"/>
          <w:kern w:val="0"/>
          <w:sz w:val="24"/>
        </w:rPr>
      </w:pPr>
    </w:p>
    <w:p>
      <w:pPr>
        <w:spacing w:line="360" w:lineRule="auto"/>
        <w:ind w:firstLine="482" w:firstLineChars="200"/>
        <w:outlineLvl w:val="2"/>
        <w:rPr>
          <w:rFonts w:ascii="Times New Roman" w:hAnsi="Times New Roman" w:eastAsia="宋体" w:cs="Times New Roman"/>
          <w:b/>
          <w:color w:val="000000"/>
          <w:kern w:val="0"/>
          <w:sz w:val="24"/>
        </w:rPr>
      </w:pPr>
    </w:p>
    <w:p>
      <w:pPr>
        <w:spacing w:line="360" w:lineRule="auto"/>
        <w:ind w:firstLine="482" w:firstLineChars="200"/>
        <w:outlineLvl w:val="2"/>
        <w:rPr>
          <w:rFonts w:ascii="Times New Roman" w:hAnsi="Times New Roman" w:eastAsia="宋体" w:cs="Times New Roman"/>
          <w:b/>
          <w:color w:val="000000"/>
          <w:kern w:val="0"/>
          <w:sz w:val="24"/>
        </w:rPr>
      </w:pPr>
    </w:p>
    <w:p>
      <w:pPr>
        <w:spacing w:line="360" w:lineRule="auto"/>
        <w:rPr>
          <w:rFonts w:ascii="Times New Roman" w:hAnsi="Times New Roman" w:eastAsia="宋体" w:cs="Times New Roman"/>
          <w:color w:val="000000"/>
          <w:kern w:val="0"/>
          <w:sz w:val="24"/>
        </w:rPr>
      </w:pPr>
    </w:p>
    <w:p>
      <w:pPr>
        <w:spacing w:line="360" w:lineRule="auto"/>
        <w:rPr>
          <w:rFonts w:ascii="Times New Roman" w:hAnsi="Times New Roman" w:eastAsia="宋体" w:cs="Times New Roman"/>
          <w:color w:val="000000"/>
          <w:kern w:val="0"/>
          <w:sz w:val="24"/>
        </w:rPr>
      </w:pPr>
    </w:p>
    <w:p>
      <w:pPr>
        <w:spacing w:line="360" w:lineRule="auto"/>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图1</w:t>
      </w:r>
      <w:r>
        <w:rPr>
          <w:rFonts w:ascii="Times New Roman" w:hAnsi="Times New Roman" w:eastAsia="宋体" w:cs="Times New Roman"/>
          <w:color w:val="000000"/>
          <w:kern w:val="0"/>
          <w:sz w:val="24"/>
        </w:rPr>
        <w:t xml:space="preserve">  </w:t>
      </w:r>
      <w:r>
        <w:rPr>
          <w:rFonts w:hint="eastAsia" w:ascii="Times New Roman" w:hAnsi="Times New Roman" w:eastAsia="宋体" w:cs="Times New Roman"/>
          <w:color w:val="000000"/>
          <w:kern w:val="0"/>
          <w:sz w:val="24"/>
        </w:rPr>
        <w:t>非洲猪瘟病毒阳性血清（</w:t>
      </w:r>
      <w:r>
        <w:rPr>
          <w:rFonts w:ascii="Times New Roman" w:hAnsi="Times New Roman" w:eastAsia="宋体" w:cs="Times New Roman"/>
          <w:color w:val="000000"/>
          <w:kern w:val="0"/>
          <w:sz w:val="24"/>
        </w:rPr>
        <w:t>ASFV101</w:t>
      </w:r>
      <w:r>
        <w:rPr>
          <w:rFonts w:hint="eastAsia" w:ascii="Times New Roman" w:hAnsi="Times New Roman" w:eastAsia="宋体" w:cs="Times New Roman"/>
          <w:color w:val="000000"/>
          <w:kern w:val="0"/>
          <w:sz w:val="24"/>
          <w:vertAlign w:val="superscript"/>
        </w:rPr>
        <w:t>#</w:t>
      </w:r>
      <w:r>
        <w:rPr>
          <w:rFonts w:hint="eastAsia" w:ascii="Times New Roman" w:hAnsi="Times New Roman" w:eastAsia="宋体" w:cs="Times New Roman"/>
          <w:color w:val="000000"/>
          <w:kern w:val="0"/>
          <w:sz w:val="24"/>
        </w:rPr>
        <w:t>）IFA检测结果</w:t>
      </w:r>
    </w:p>
    <w:p>
      <w:pPr>
        <w:widowControl/>
        <w:jc w:val="left"/>
        <w:rPr>
          <w:rFonts w:ascii="Times New Roman" w:hAnsi="Times New Roman" w:eastAsia="宋体" w:cs="Times New Roman"/>
          <w:b/>
          <w:color w:val="000000"/>
          <w:kern w:val="0"/>
          <w:sz w:val="24"/>
        </w:rPr>
      </w:pPr>
      <w:r>
        <w:rPr>
          <w:rFonts w:ascii="Times New Roman" w:hAnsi="Times New Roman" w:eastAsia="宋体" w:cs="Times New Roman"/>
          <w:b/>
          <w:color w:val="000000"/>
          <w:kern w:val="0"/>
          <w:sz w:val="24"/>
        </w:rPr>
        <w:br w:type="page"/>
      </w:r>
    </w:p>
    <w:p>
      <w:pPr>
        <w:spacing w:line="360" w:lineRule="auto"/>
        <w:ind w:firstLine="482" w:firstLineChars="200"/>
        <w:outlineLvl w:val="2"/>
        <w:rPr>
          <w:rFonts w:ascii="Times New Roman" w:hAnsi="Times New Roman" w:eastAsia="宋体" w:cs="Times New Roman"/>
          <w:b/>
          <w:color w:val="000000"/>
          <w:kern w:val="0"/>
          <w:sz w:val="24"/>
        </w:rPr>
      </w:pPr>
      <w:r>
        <w:rPr>
          <w:rFonts w:hint="eastAsia" w:ascii="Times New Roman" w:hAnsi="Times New Roman" w:eastAsia="宋体" w:cs="Times New Roman"/>
          <w:b/>
          <w:color w:val="000000"/>
          <w:kern w:val="0"/>
          <w:sz w:val="24"/>
        </w:rPr>
        <w:t>4</w:t>
      </w:r>
      <w:r>
        <w:rPr>
          <w:rFonts w:ascii="Times New Roman" w:hAnsi="Times New Roman" w:eastAsia="宋体" w:cs="Times New Roman"/>
          <w:b/>
          <w:color w:val="000000"/>
          <w:kern w:val="0"/>
          <w:sz w:val="24"/>
        </w:rPr>
        <w:t xml:space="preserve">  </w:t>
      </w:r>
      <w:r>
        <w:rPr>
          <w:rFonts w:hint="eastAsia" w:ascii="Times New Roman" w:hAnsi="Times New Roman" w:eastAsia="宋体" w:cs="Times New Roman"/>
          <w:b/>
          <w:color w:val="000000"/>
          <w:kern w:val="0"/>
          <w:sz w:val="24"/>
        </w:rPr>
        <w:t>结论</w:t>
      </w:r>
    </w:p>
    <w:p>
      <w:pPr>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本实验共检测了101份血清样品，经英吉纳非洲猪瘟病毒（ASFV）阻断ELISA抗体检测试剂盒及间接免疫荧光试验检测均为非洲猪瘟病毒抗体阳性，经OIE推荐的非洲猪瘟病毒荧光PCR方法检测均为非洲猪瘟病毒阴性，以上样品均经过70℃灭活60分钟后，置-20℃以下保存。</w:t>
      </w:r>
    </w:p>
    <w:p>
      <w:pPr>
        <w:spacing w:line="360" w:lineRule="auto"/>
        <w:ind w:firstLine="480" w:firstLineChars="200"/>
        <w:rPr>
          <w:rFonts w:ascii="Times New Roman" w:hAnsi="Times New Roman" w:eastAsia="宋体" w:cs="Times New Roman"/>
          <w:color w:val="000000"/>
          <w:kern w:val="0"/>
          <w:sz w:val="24"/>
        </w:rPr>
      </w:pPr>
    </w:p>
    <w:p>
      <w:pPr>
        <w:spacing w:line="360" w:lineRule="auto"/>
        <w:ind w:firstLine="480" w:firstLineChars="200"/>
        <w:rPr>
          <w:rFonts w:ascii="Times New Roman" w:hAnsi="Times New Roman" w:eastAsia="宋体" w:cs="Times New Roman"/>
          <w:color w:val="000000"/>
          <w:kern w:val="0"/>
          <w:sz w:val="24"/>
        </w:rPr>
      </w:pPr>
    </w:p>
    <w:p>
      <w:pPr>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试验负责人：</w:t>
      </w:r>
    </w:p>
    <w:p>
      <w:pPr>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试验执行人：</w:t>
      </w:r>
    </w:p>
    <w:p>
      <w:pPr>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试验地点：中国农业科学院哈尔滨兽医研究所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A4"/>
    <w:rsid w:val="000761AA"/>
    <w:rsid w:val="00086C05"/>
    <w:rsid w:val="00160D6B"/>
    <w:rsid w:val="0019631F"/>
    <w:rsid w:val="001D2114"/>
    <w:rsid w:val="00246E39"/>
    <w:rsid w:val="002F7B73"/>
    <w:rsid w:val="00353857"/>
    <w:rsid w:val="00435C3B"/>
    <w:rsid w:val="0045537A"/>
    <w:rsid w:val="00485EA2"/>
    <w:rsid w:val="004B7A5B"/>
    <w:rsid w:val="004C357D"/>
    <w:rsid w:val="004C5646"/>
    <w:rsid w:val="004D29D4"/>
    <w:rsid w:val="00617196"/>
    <w:rsid w:val="00624CB7"/>
    <w:rsid w:val="006710CC"/>
    <w:rsid w:val="00805E4D"/>
    <w:rsid w:val="00826AD8"/>
    <w:rsid w:val="008E0C13"/>
    <w:rsid w:val="009102BF"/>
    <w:rsid w:val="009464BE"/>
    <w:rsid w:val="009A539E"/>
    <w:rsid w:val="00A5385B"/>
    <w:rsid w:val="00A86F69"/>
    <w:rsid w:val="00C45B90"/>
    <w:rsid w:val="00CE69FD"/>
    <w:rsid w:val="00D400DB"/>
    <w:rsid w:val="00F757A4"/>
    <w:rsid w:val="00F8401D"/>
    <w:rsid w:val="058E2DF8"/>
    <w:rsid w:val="33A10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0"/>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文字 字符"/>
    <w:basedOn w:val="8"/>
    <w:link w:val="2"/>
    <w:qFormat/>
    <w:uiPriority w:val="0"/>
    <w:rPr>
      <w:kern w:val="2"/>
      <w:sz w:val="21"/>
      <w:szCs w:val="24"/>
    </w:rPr>
  </w:style>
  <w:style w:type="character" w:customStyle="1" w:styleId="13">
    <w:name w:val="正文 无段前 段后"/>
    <w:qFormat/>
    <w:uiPriority w:val="0"/>
    <w:rPr>
      <w:rFonts w:ascii="Times New Roman" w:hAnsi="Times New Roman" w:eastAsia="宋体" w:cs="Times New Roman"/>
      <w:color w:val="000000"/>
      <w:sz w:val="21"/>
      <w:szCs w:val="21"/>
      <w:u w:val="none"/>
    </w:rPr>
  </w:style>
  <w:style w:type="character" w:customStyle="1" w:styleId="14">
    <w:name w:val="批注主题 字符"/>
    <w:basedOn w:val="12"/>
    <w:link w:val="5"/>
    <w:semiHidden/>
    <w:qFormat/>
    <w:uiPriority w:val="99"/>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672</Words>
  <Characters>3834</Characters>
  <Lines>31</Lines>
  <Paragraphs>8</Paragraphs>
  <TotalTime>76</TotalTime>
  <ScaleCrop>false</ScaleCrop>
  <LinksUpToDate>false</LinksUpToDate>
  <CharactersWithSpaces>4498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2021-03-18T13:55:00Z</dcterms:created>
  <dc:creator>刘 明瑞</dc:creator>
  <cp:lastModifiedBy>Ji jiefei</cp:lastModifiedBy>
  <dcterms:modified xsi:type="dcterms:W3CDTF">2021-04-12T09:51:02Z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67D0FCCFD55642FAB2FD2F9DCDCEBA96</vt:lpwstr>
  </property>
</Properties>
</file>