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sz w:val="32"/>
          <w:szCs w:val="28"/>
        </w:rPr>
      </w:pPr>
      <w:bookmarkStart w:id="0" w:name="_Toc521060326"/>
      <w:bookmarkStart w:id="1" w:name="_Toc522867320"/>
      <w:r>
        <w:rPr>
          <w:rFonts w:hint="eastAsia" w:ascii="宋体" w:hAnsi="宋体"/>
          <w:b/>
          <w:sz w:val="32"/>
          <w:szCs w:val="28"/>
        </w:rPr>
        <w:t>汤林线友好至红山间封闭工程钢筋混凝土防护栅栏</w:t>
      </w:r>
    </w:p>
    <w:p>
      <w:pPr>
        <w:pStyle w:val="2"/>
        <w:contextualSpacing/>
        <w:jc w:val="center"/>
        <w:rPr>
          <w:rFonts w:ascii="宋体" w:hAnsi="宋体"/>
          <w:b w:val="0"/>
          <w:color w:val="auto"/>
          <w:sz w:val="32"/>
          <w:szCs w:val="32"/>
        </w:rPr>
      </w:pPr>
      <w:r>
        <w:rPr>
          <w:rFonts w:hint="eastAsia" w:ascii="宋体" w:hAnsi="宋体"/>
          <w:color w:val="auto"/>
          <w:sz w:val="32"/>
          <w:szCs w:val="32"/>
        </w:rPr>
        <w:t>买卖</w:t>
      </w:r>
      <w:r>
        <w:rPr>
          <w:rFonts w:ascii="宋体" w:hAnsi="宋体"/>
          <w:color w:val="auto"/>
          <w:sz w:val="32"/>
          <w:szCs w:val="32"/>
        </w:rPr>
        <w:t>合同</w:t>
      </w:r>
      <w:bookmarkEnd w:id="0"/>
      <w:bookmarkEnd w:id="1"/>
    </w:p>
    <w:p>
      <w:pPr>
        <w:spacing w:line="366" w:lineRule="exact"/>
        <w:ind w:firstLine="4686" w:firstLineChars="2200"/>
        <w:contextualSpacing/>
        <w:rPr>
          <w:rFonts w:hint="default" w:asciiTheme="minorEastAsia" w:hAnsiTheme="minorEastAsia" w:eastAsiaTheme="minorEastAsia" w:cstheme="minorEastAsia"/>
          <w:szCs w:val="18"/>
          <w:u w:val="single"/>
          <w:lang w:val="en-US" w:eastAsia="zh-CN"/>
        </w:rPr>
      </w:pPr>
      <w:r>
        <w:rPr>
          <w:rFonts w:hint="eastAsia" w:asciiTheme="minorEastAsia" w:hAnsiTheme="minorEastAsia" w:eastAsiaTheme="minorEastAsia" w:cstheme="minorEastAsia"/>
          <w:szCs w:val="18"/>
        </w:rPr>
        <w:t>甲方合同编号：</w:t>
      </w:r>
      <w:r>
        <w:rPr>
          <w:rFonts w:hint="eastAsia" w:asciiTheme="minorEastAsia" w:hAnsiTheme="minorEastAsia" w:eastAsiaTheme="minorEastAsia" w:cstheme="minorEastAsia"/>
          <w:szCs w:val="18"/>
          <w:u w:val="single"/>
        </w:rPr>
        <w:t>哈三线桥202100</w:t>
      </w:r>
      <w:r>
        <w:rPr>
          <w:rFonts w:hint="eastAsia" w:asciiTheme="minorEastAsia" w:hAnsiTheme="minorEastAsia" w:eastAsiaTheme="minorEastAsia" w:cstheme="minorEastAsia"/>
          <w:szCs w:val="18"/>
          <w:u w:val="single"/>
          <w:lang w:val="en-US" w:eastAsia="zh-CN"/>
        </w:rPr>
        <w:t>29</w:t>
      </w:r>
    </w:p>
    <w:p>
      <w:pPr>
        <w:adjustRightInd w:val="0"/>
        <w:spacing w:line="366" w:lineRule="exact"/>
        <w:ind w:firstLine="486" w:firstLineChars="200"/>
        <w:contextualSpacing/>
        <w:rPr>
          <w:rFonts w:ascii="Times New Roman" w:hAnsi="Times New Roman" w:cs="Times New Roman"/>
          <w:sz w:val="24"/>
        </w:rPr>
      </w:pPr>
    </w:p>
    <w:p>
      <w:pPr>
        <w:adjustRightInd w:val="0"/>
        <w:spacing w:line="366" w:lineRule="exact"/>
        <w:ind w:firstLine="486" w:firstLineChars="200"/>
        <w:contextualSpacing/>
        <w:rPr>
          <w:rFonts w:ascii="Times New Roman" w:hAnsi="Times New Roman" w:cs="Times New Roman"/>
          <w:sz w:val="24"/>
        </w:rPr>
      </w:pPr>
    </w:p>
    <w:p>
      <w:pPr>
        <w:adjustRightInd w:val="0"/>
        <w:spacing w:line="366" w:lineRule="exact"/>
        <w:ind w:firstLine="486" w:firstLineChars="200"/>
        <w:contextualSpacing/>
        <w:rPr>
          <w:rFonts w:ascii="Times New Roman" w:hAnsi="Times New Roman" w:cs="Times New Roman"/>
          <w:sz w:val="24"/>
        </w:rPr>
      </w:pPr>
      <w:r>
        <w:rPr>
          <w:rFonts w:ascii="Times New Roman" w:hAnsi="Times New Roman" w:cs="Times New Roman"/>
          <w:sz w:val="24"/>
        </w:rPr>
        <w:t xml:space="preserve">       </w:t>
      </w:r>
    </w:p>
    <w:p>
      <w:pPr>
        <w:adjustRightInd w:val="0"/>
        <w:spacing w:line="706" w:lineRule="exact"/>
        <w:ind w:left="3835" w:hanging="3808" w:hangingChars="1346"/>
        <w:contextualSpacing/>
        <w:rPr>
          <w:rFonts w:ascii="宋体" w:hAnsi="宋体"/>
          <w:b/>
          <w:color w:val="000000"/>
          <w:sz w:val="30"/>
          <w:szCs w:val="30"/>
          <w:u w:val="single"/>
        </w:rPr>
      </w:pPr>
      <w:r>
        <w:rPr>
          <w:rFonts w:hint="eastAsia" w:ascii="Times New Roman" w:hAnsi="Times New Roman" w:cs="Times New Roman"/>
          <w:b/>
          <w:kern w:val="0"/>
          <w:sz w:val="28"/>
          <w:szCs w:val="28"/>
        </w:rPr>
        <w:t>甲        方（买    方）：</w:t>
      </w:r>
      <w:r>
        <w:rPr>
          <w:rFonts w:hint="eastAsia" w:ascii="宋体" w:hAnsi="宋体"/>
          <w:b/>
          <w:color w:val="000000"/>
          <w:sz w:val="30"/>
          <w:szCs w:val="30"/>
          <w:u w:val="single"/>
        </w:rPr>
        <w:t>哈尔滨铁路工程建设有限公司</w:t>
      </w:r>
    </w:p>
    <w:p>
      <w:pPr>
        <w:adjustRightInd w:val="0"/>
        <w:spacing w:line="706" w:lineRule="exact"/>
        <w:ind w:firstLine="3962" w:firstLineChars="1400"/>
        <w:contextualSpacing/>
        <w:rPr>
          <w:rFonts w:ascii="Times New Roman" w:hAnsi="Times New Roman" w:cs="Times New Roman"/>
          <w:b/>
          <w:kern w:val="0"/>
          <w:sz w:val="28"/>
          <w:szCs w:val="28"/>
        </w:rPr>
      </w:pPr>
      <w:r>
        <w:rPr>
          <w:b/>
          <w:sz w:val="28"/>
          <w:szCs w:val="28"/>
          <w:u w:val="single"/>
        </w:rPr>
        <w:t>哈尔滨第三线桥工程分公司</w:t>
      </w:r>
      <w:r>
        <w:rPr>
          <w:rFonts w:hint="eastAsia" w:ascii="宋体" w:hAnsi="宋体"/>
          <w:bCs/>
          <w:color w:val="000000"/>
          <w:sz w:val="30"/>
          <w:szCs w:val="30"/>
        </w:rPr>
        <w:t xml:space="preserve"> </w:t>
      </w:r>
      <w:r>
        <w:rPr>
          <w:rFonts w:ascii="Times New Roman" w:hAnsi="Times New Roman" w:cs="Times New Roman"/>
          <w:b/>
          <w:sz w:val="30"/>
          <w:szCs w:val="30"/>
        </w:rPr>
        <w:t xml:space="preserve">   </w:t>
      </w:r>
    </w:p>
    <w:p>
      <w:pPr>
        <w:adjustRightInd w:val="0"/>
        <w:spacing w:line="706" w:lineRule="exact"/>
        <w:contextualSpacing/>
        <w:rPr>
          <w:rFonts w:ascii="Times New Roman" w:hAnsi="Times New Roman" w:cs="Times New Roman"/>
          <w:b/>
          <w:sz w:val="28"/>
          <w:szCs w:val="28"/>
          <w:u w:val="single"/>
        </w:rPr>
      </w:pPr>
      <w:r>
        <w:rPr>
          <w:rFonts w:ascii="Times New Roman" w:hAnsi="Times New Roman" w:cs="Times New Roman"/>
          <w:b/>
          <w:spacing w:val="31"/>
          <w:kern w:val="0"/>
          <w:sz w:val="28"/>
          <w:szCs w:val="28"/>
          <w:fitText w:val="3372" w:id="1796039534"/>
        </w:rPr>
        <w:t>法定代表人（负责人</w:t>
      </w:r>
      <w:r>
        <w:rPr>
          <w:rFonts w:ascii="Times New Roman" w:hAnsi="Times New Roman" w:cs="Times New Roman"/>
          <w:b/>
          <w:spacing w:val="7"/>
          <w:kern w:val="0"/>
          <w:sz w:val="28"/>
          <w:szCs w:val="28"/>
          <w:fitText w:val="3372" w:id="1796039534"/>
        </w:rPr>
        <w:t>）</w:t>
      </w:r>
      <w:r>
        <w:rPr>
          <w:rFonts w:ascii="Times New Roman" w:hAnsi="Times New Roman" w:cs="Times New Roman"/>
          <w:b/>
          <w:sz w:val="28"/>
          <w:szCs w:val="28"/>
        </w:rPr>
        <w:t>：</w:t>
      </w:r>
      <w:r>
        <w:rPr>
          <w:rFonts w:hint="eastAsia" w:ascii="Times New Roman" w:hAnsi="Times New Roman" w:cs="Times New Roman"/>
          <w:bCs/>
          <w:sz w:val="28"/>
          <w:szCs w:val="28"/>
          <w:u w:val="single"/>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
          <w:sz w:val="28"/>
          <w:szCs w:val="28"/>
          <w:u w:val="single"/>
        </w:rPr>
        <w:t>刘兴权</w:t>
      </w:r>
      <w:r>
        <w:rPr>
          <w:rFonts w:ascii="Times New Roman" w:hAnsi="Times New Roman" w:cs="Times New Roman"/>
          <w:bCs/>
          <w:sz w:val="28"/>
          <w:szCs w:val="28"/>
          <w:u w:val="single"/>
        </w:rPr>
        <w:t xml:space="preserve">  </w:t>
      </w:r>
    </w:p>
    <w:p>
      <w:pPr>
        <w:adjustRightInd w:val="0"/>
        <w:spacing w:line="366" w:lineRule="exact"/>
        <w:contextualSpacing/>
        <w:rPr>
          <w:rFonts w:ascii="Times New Roman" w:hAnsi="Times New Roman" w:cs="Times New Roman"/>
          <w:b/>
          <w:kern w:val="0"/>
          <w:sz w:val="28"/>
          <w:szCs w:val="28"/>
        </w:rPr>
      </w:pPr>
    </w:p>
    <w:p>
      <w:pPr>
        <w:adjustRightInd w:val="0"/>
        <w:spacing w:line="366" w:lineRule="exact"/>
        <w:contextualSpacing/>
        <w:rPr>
          <w:rFonts w:ascii="Times New Roman" w:hAnsi="Times New Roman" w:cs="Times New Roman"/>
          <w:b/>
          <w:sz w:val="28"/>
          <w:szCs w:val="28"/>
          <w:u w:val="single"/>
        </w:rPr>
      </w:pPr>
      <w:r>
        <w:rPr>
          <w:rFonts w:ascii="Times New Roman" w:hAnsi="Times New Roman" w:cs="Times New Roman"/>
          <w:b/>
          <w:spacing w:val="28"/>
          <w:kern w:val="0"/>
          <w:sz w:val="28"/>
          <w:szCs w:val="28"/>
          <w:fitText w:val="3372" w:id="1"/>
        </w:rPr>
        <w:t xml:space="preserve">住              </w:t>
      </w:r>
      <w:r>
        <w:rPr>
          <w:rFonts w:ascii="Times New Roman" w:hAnsi="Times New Roman" w:cs="Times New Roman"/>
          <w:b/>
          <w:spacing w:val="6"/>
          <w:kern w:val="0"/>
          <w:sz w:val="28"/>
          <w:szCs w:val="28"/>
          <w:fitText w:val="3372" w:id="1"/>
        </w:rPr>
        <w:t>所</w:t>
      </w:r>
      <w:r>
        <w:rPr>
          <w:rFonts w:ascii="Times New Roman" w:hAnsi="Times New Roman" w:cs="Times New Roman"/>
          <w:b/>
          <w:sz w:val="28"/>
          <w:szCs w:val="28"/>
        </w:rPr>
        <w:t>：</w:t>
      </w:r>
      <w:r>
        <w:rPr>
          <w:rFonts w:hint="eastAsia"/>
          <w:b/>
          <w:sz w:val="28"/>
          <w:szCs w:val="28"/>
          <w:u w:val="single"/>
        </w:rPr>
        <w:t>哈尔滨市南岗区文明街56号</w:t>
      </w:r>
    </w:p>
    <w:p>
      <w:pPr>
        <w:adjustRightInd w:val="0"/>
        <w:spacing w:line="366" w:lineRule="exact"/>
        <w:ind w:firstLine="1570" w:firstLineChars="555"/>
        <w:contextualSpacing/>
        <w:rPr>
          <w:rFonts w:ascii="Times New Roman" w:hAnsi="Times New Roman" w:cs="Times New Roman"/>
          <w:b/>
          <w:sz w:val="28"/>
          <w:szCs w:val="28"/>
        </w:rPr>
      </w:pPr>
      <w:r>
        <w:rPr>
          <w:rFonts w:ascii="Times New Roman" w:hAnsi="Times New Roman" w:cs="Times New Roman"/>
          <w:b/>
          <w:sz w:val="28"/>
          <w:szCs w:val="28"/>
        </w:rPr>
        <w:t xml:space="preserve">    </w:t>
      </w:r>
    </w:p>
    <w:p>
      <w:pPr>
        <w:pStyle w:val="2"/>
      </w:pPr>
    </w:p>
    <w:p>
      <w:pPr>
        <w:adjustRightInd w:val="0"/>
        <w:spacing w:line="366" w:lineRule="exact"/>
        <w:contextualSpacing/>
        <w:rPr>
          <w:rFonts w:ascii="Times New Roman" w:hAnsi="Times New Roman" w:cs="Times New Roman"/>
          <w:b/>
          <w:sz w:val="28"/>
          <w:szCs w:val="28"/>
        </w:rPr>
      </w:pPr>
      <w:r>
        <w:rPr>
          <w:rFonts w:hint="eastAsia" w:ascii="Times New Roman" w:hAnsi="Times New Roman" w:cs="Times New Roman"/>
          <w:b/>
          <w:spacing w:val="22"/>
          <w:kern w:val="0"/>
          <w:sz w:val="28"/>
          <w:szCs w:val="28"/>
          <w:fitText w:val="3372" w:id="2"/>
        </w:rPr>
        <w:t>乙</w:t>
      </w:r>
      <w:r>
        <w:rPr>
          <w:rFonts w:ascii="Times New Roman" w:hAnsi="Times New Roman" w:cs="Times New Roman"/>
          <w:b/>
          <w:spacing w:val="22"/>
          <w:kern w:val="0"/>
          <w:sz w:val="28"/>
          <w:szCs w:val="28"/>
          <w:fitText w:val="3372" w:id="2"/>
        </w:rPr>
        <w:t xml:space="preserve">      方（</w:t>
      </w:r>
      <w:r>
        <w:rPr>
          <w:rFonts w:hint="eastAsia" w:ascii="Times New Roman" w:hAnsi="Times New Roman" w:cs="Times New Roman"/>
          <w:b/>
          <w:spacing w:val="22"/>
          <w:kern w:val="0"/>
          <w:sz w:val="28"/>
          <w:szCs w:val="28"/>
          <w:fitText w:val="3372" w:id="2"/>
        </w:rPr>
        <w:t xml:space="preserve">卖  </w:t>
      </w:r>
      <w:r>
        <w:rPr>
          <w:rFonts w:ascii="Times New Roman" w:hAnsi="Times New Roman" w:cs="Times New Roman"/>
          <w:b/>
          <w:spacing w:val="22"/>
          <w:kern w:val="0"/>
          <w:sz w:val="28"/>
          <w:szCs w:val="28"/>
          <w:fitText w:val="3372" w:id="2"/>
        </w:rPr>
        <w:t>方</w:t>
      </w:r>
      <w:r>
        <w:rPr>
          <w:rFonts w:ascii="Times New Roman" w:hAnsi="Times New Roman" w:cs="Times New Roman"/>
          <w:b/>
          <w:spacing w:val="0"/>
          <w:kern w:val="0"/>
          <w:sz w:val="28"/>
          <w:szCs w:val="28"/>
          <w:fitText w:val="3372" w:id="2"/>
        </w:rPr>
        <w:t>）</w:t>
      </w:r>
      <w:r>
        <w:rPr>
          <w:rFonts w:ascii="Times New Roman" w:hAnsi="Times New Roman" w:cs="Times New Roman"/>
          <w:b/>
          <w:sz w:val="28"/>
          <w:szCs w:val="28"/>
        </w:rPr>
        <w:t>：</w:t>
      </w:r>
      <w:r>
        <w:rPr>
          <w:rFonts w:hint="eastAsia" w:ascii="宋体" w:hAnsi="宋体"/>
          <w:b/>
          <w:sz w:val="28"/>
          <w:szCs w:val="28"/>
          <w:u w:val="single"/>
        </w:rPr>
        <w:t>哈尔滨市鑫源水泥制品有限公司</w:t>
      </w:r>
      <w:r>
        <w:rPr>
          <w:rFonts w:ascii="Times New Roman" w:hAnsi="Times New Roman" w:cs="Times New Roman"/>
          <w:b/>
          <w:sz w:val="28"/>
          <w:szCs w:val="28"/>
        </w:rPr>
        <w:t xml:space="preserve">  </w:t>
      </w:r>
    </w:p>
    <w:p>
      <w:pPr>
        <w:adjustRightInd w:val="0"/>
        <w:spacing w:line="366" w:lineRule="exact"/>
        <w:contextualSpacing/>
        <w:rPr>
          <w:rFonts w:ascii="Times New Roman" w:hAnsi="Times New Roman" w:cs="Times New Roman"/>
          <w:b/>
          <w:kern w:val="0"/>
          <w:sz w:val="28"/>
          <w:szCs w:val="28"/>
        </w:rPr>
      </w:pPr>
    </w:p>
    <w:p>
      <w:pPr>
        <w:adjustRightInd w:val="0"/>
        <w:spacing w:line="366" w:lineRule="exact"/>
        <w:contextualSpacing/>
        <w:rPr>
          <w:rFonts w:ascii="Times New Roman" w:hAnsi="Times New Roman" w:cs="Times New Roman"/>
          <w:b/>
          <w:sz w:val="28"/>
          <w:szCs w:val="28"/>
        </w:rPr>
      </w:pPr>
      <w:r>
        <w:rPr>
          <w:rFonts w:ascii="Times New Roman" w:hAnsi="Times New Roman" w:cs="Times New Roman"/>
          <w:b/>
          <w:spacing w:val="31"/>
          <w:kern w:val="0"/>
          <w:sz w:val="28"/>
          <w:szCs w:val="28"/>
          <w:fitText w:val="3372" w:id="3"/>
        </w:rPr>
        <w:t>法定代表人（负责人</w:t>
      </w:r>
      <w:r>
        <w:rPr>
          <w:rFonts w:ascii="Times New Roman" w:hAnsi="Times New Roman" w:cs="Times New Roman"/>
          <w:b/>
          <w:spacing w:val="7"/>
          <w:kern w:val="0"/>
          <w:sz w:val="28"/>
          <w:szCs w:val="28"/>
          <w:fitText w:val="3372" w:id="3"/>
        </w:rPr>
        <w:t>）</w:t>
      </w:r>
      <w:r>
        <w:rPr>
          <w:rFonts w:ascii="Times New Roman" w:hAnsi="Times New Roman" w:cs="Times New Roman"/>
          <w:b/>
          <w:sz w:val="28"/>
          <w:szCs w:val="28"/>
        </w:rPr>
        <w:t>：</w:t>
      </w:r>
      <w:r>
        <w:rPr>
          <w:rFonts w:hint="eastAsia" w:ascii="宋体" w:hAnsi="宋体"/>
          <w:b/>
          <w:sz w:val="28"/>
          <w:szCs w:val="28"/>
          <w:u w:val="single"/>
        </w:rPr>
        <w:t>王洪康</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pPr>
        <w:adjustRightInd w:val="0"/>
        <w:spacing w:line="366" w:lineRule="exact"/>
        <w:contextualSpacing/>
        <w:rPr>
          <w:rFonts w:ascii="Times New Roman" w:hAnsi="Times New Roman" w:cs="Times New Roman"/>
          <w:b/>
          <w:kern w:val="0"/>
          <w:sz w:val="28"/>
          <w:szCs w:val="28"/>
        </w:rPr>
      </w:pPr>
    </w:p>
    <w:p>
      <w:pPr>
        <w:adjustRightInd w:val="0"/>
        <w:spacing w:line="366" w:lineRule="exact"/>
        <w:contextualSpacing/>
        <w:rPr>
          <w:rFonts w:ascii="Times New Roman" w:hAnsi="Times New Roman" w:cs="Times New Roman"/>
          <w:b/>
          <w:sz w:val="28"/>
          <w:szCs w:val="28"/>
        </w:rPr>
      </w:pPr>
      <w:r>
        <w:rPr>
          <w:rFonts w:ascii="Times New Roman" w:hAnsi="Times New Roman" w:cs="Times New Roman"/>
          <w:b/>
          <w:spacing w:val="22"/>
          <w:kern w:val="0"/>
          <w:sz w:val="28"/>
          <w:szCs w:val="28"/>
          <w:fitText w:val="3372" w:id="4"/>
        </w:rPr>
        <w:t xml:space="preserve">住               </w:t>
      </w:r>
      <w:r>
        <w:rPr>
          <w:rFonts w:ascii="Times New Roman" w:hAnsi="Times New Roman" w:cs="Times New Roman"/>
          <w:b/>
          <w:spacing w:val="4"/>
          <w:kern w:val="0"/>
          <w:sz w:val="28"/>
          <w:szCs w:val="28"/>
          <w:fitText w:val="3372" w:id="4"/>
        </w:rPr>
        <w:t>所</w:t>
      </w:r>
      <w:r>
        <w:rPr>
          <w:rFonts w:ascii="Times New Roman" w:hAnsi="Times New Roman" w:cs="Times New Roman"/>
          <w:b/>
          <w:sz w:val="28"/>
          <w:szCs w:val="28"/>
        </w:rPr>
        <w:t>：</w:t>
      </w:r>
      <w:r>
        <w:rPr>
          <w:rFonts w:hint="eastAsia" w:ascii="宋体" w:hAnsi="宋体"/>
          <w:b/>
          <w:bCs/>
          <w:sz w:val="28"/>
          <w:szCs w:val="28"/>
          <w:u w:val="single"/>
        </w:rPr>
        <w:t>哈尔滨市香坊区高子镇新城村</w:t>
      </w:r>
    </w:p>
    <w:p>
      <w:pPr>
        <w:pStyle w:val="2"/>
      </w:pPr>
    </w:p>
    <w:p>
      <w:pPr>
        <w:spacing w:line="366" w:lineRule="exact"/>
        <w:ind w:firstLine="566" w:firstLineChars="200"/>
        <w:contextualSpacing/>
        <w:rPr>
          <w:rFonts w:ascii="Times New Roman" w:hAnsi="Times New Roman" w:cs="Times New Roman"/>
          <w:sz w:val="28"/>
          <w:szCs w:val="28"/>
        </w:rPr>
      </w:pPr>
    </w:p>
    <w:p>
      <w:pPr>
        <w:ind w:firstLine="2122" w:firstLineChars="750"/>
        <w:contextualSpacing/>
        <w:rPr>
          <w:rFonts w:ascii="Times New Roman" w:hAnsi="Times New Roman" w:cs="Times New Roman"/>
          <w:sz w:val="28"/>
          <w:szCs w:val="28"/>
        </w:rPr>
      </w:pPr>
      <w:r>
        <w:rPr>
          <w:rFonts w:ascii="Times New Roman" w:hAnsi="Times New Roman" w:cs="Times New Roman"/>
          <w:sz w:val="28"/>
          <w:szCs w:val="28"/>
        </w:rPr>
        <w:t>签订日期：</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2021</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pPr>
        <w:ind w:firstLine="2122" w:firstLineChars="750"/>
        <w:contextualSpacing/>
        <w:rPr>
          <w:rFonts w:ascii="Times New Roman" w:hAnsi="Times New Roman" w:eastAsia="华文中宋" w:cs="Times New Roman"/>
          <w:b/>
          <w:bCs/>
          <w:sz w:val="44"/>
          <w:szCs w:val="44"/>
        </w:rPr>
      </w:pPr>
      <w:r>
        <w:rPr>
          <w:rFonts w:ascii="Times New Roman" w:hAnsi="Times New Roman" w:cs="Times New Roman"/>
          <w:sz w:val="28"/>
          <w:szCs w:val="28"/>
        </w:rPr>
        <w:t>签订地点：</w:t>
      </w:r>
      <w:r>
        <w:rPr>
          <w:rFonts w:hint="eastAsia" w:ascii="Times New Roman" w:hAnsi="Times New Roman" w:cs="Times New Roman"/>
          <w:sz w:val="28"/>
          <w:szCs w:val="28"/>
          <w:u w:val="single"/>
        </w:rPr>
        <w:t xml:space="preserve">       哈尔滨       </w:t>
      </w:r>
      <w:r>
        <w:rPr>
          <w:rFonts w:ascii="仿宋_GB2312" w:eastAsia="仿宋_GB2312"/>
          <w:sz w:val="28"/>
          <w:szCs w:val="28"/>
        </w:rPr>
        <w:br w:type="page"/>
      </w:r>
      <w:r>
        <w:rPr>
          <w:rFonts w:hint="eastAsia" w:ascii="仿宋_GB2312" w:eastAsia="仿宋_GB2312"/>
          <w:sz w:val="28"/>
          <w:szCs w:val="28"/>
        </w:rPr>
        <w:t>根据《中华人民共和国民法典》及其他有关法律、法规之规定，甲乙双方</w:t>
      </w:r>
      <w:r>
        <w:rPr>
          <w:rFonts w:hint="eastAsia" w:ascii="仿宋_GB2312" w:eastAsia="仿宋_GB2312"/>
          <w:bCs/>
          <w:sz w:val="28"/>
          <w:szCs w:val="28"/>
        </w:rPr>
        <w:t>遵循公平、自愿、诚实信用的原则，在协商一致</w:t>
      </w:r>
      <w:r>
        <w:rPr>
          <w:rFonts w:hint="eastAsia" w:ascii="仿宋_GB2312" w:eastAsia="仿宋_GB2312"/>
          <w:sz w:val="28"/>
          <w:szCs w:val="28"/>
        </w:rPr>
        <w:t>的基础上</w:t>
      </w:r>
      <w:r>
        <w:rPr>
          <w:rFonts w:hint="eastAsia" w:ascii="仿宋_GB2312" w:eastAsia="仿宋_GB2312"/>
          <w:bCs/>
          <w:sz w:val="28"/>
          <w:szCs w:val="28"/>
        </w:rPr>
        <w:t>，</w:t>
      </w:r>
      <w:r>
        <w:rPr>
          <w:rFonts w:hint="eastAsia" w:ascii="仿宋_GB2312" w:eastAsia="仿宋_GB2312"/>
          <w:sz w:val="28"/>
          <w:szCs w:val="28"/>
        </w:rPr>
        <w:t>就乙方向甲方出售下列商品达成协议如下:</w:t>
      </w:r>
      <w:r>
        <w:rPr>
          <w:rFonts w:hint="eastAsia" w:ascii="仿宋_GB2312" w:eastAsia="仿宋_GB2312"/>
          <w:bCs/>
          <w:sz w:val="28"/>
          <w:szCs w:val="28"/>
        </w:rPr>
        <w:t xml:space="preserve"> </w:t>
      </w:r>
    </w:p>
    <w:p>
      <w:pPr>
        <w:snapToGrid w:val="0"/>
        <w:spacing w:line="366" w:lineRule="exact"/>
        <w:ind w:firstLine="566" w:firstLineChars="200"/>
        <w:rPr>
          <w:rFonts w:ascii="黑体" w:hAnsi="黑体" w:eastAsia="黑体"/>
          <w:sz w:val="28"/>
          <w:szCs w:val="28"/>
        </w:rPr>
      </w:pPr>
      <w:r>
        <w:rPr>
          <w:rFonts w:hint="eastAsia" w:ascii="黑体" w:hAnsi="黑体" w:eastAsia="黑体"/>
          <w:sz w:val="28"/>
          <w:szCs w:val="28"/>
        </w:rPr>
        <w:t>第一条 合同标的</w:t>
      </w:r>
    </w:p>
    <w:p>
      <w:pPr>
        <w:snapToGrid w:val="0"/>
        <w:spacing w:line="366" w:lineRule="exact"/>
        <w:ind w:firstLine="566" w:firstLineChars="200"/>
        <w:rPr>
          <w:rFonts w:ascii="黑体" w:hAnsi="黑体" w:eastAsia="黑体"/>
          <w:sz w:val="28"/>
          <w:szCs w:val="28"/>
        </w:rPr>
      </w:pPr>
    </w:p>
    <w:tbl>
      <w:tblPr>
        <w:tblStyle w:val="13"/>
        <w:tblpPr w:leftFromText="180" w:rightFromText="180" w:vertAnchor="text" w:horzAnchor="margin" w:tblpXSpec="center" w:tblpY="-17"/>
        <w:tblOverlap w:val="never"/>
        <w:tblW w:w="5498" w:type="pct"/>
        <w:jc w:val="center"/>
        <w:tblLayout w:type="autofit"/>
        <w:tblCellMar>
          <w:top w:w="0" w:type="dxa"/>
          <w:left w:w="108" w:type="dxa"/>
          <w:bottom w:w="0" w:type="dxa"/>
          <w:right w:w="108" w:type="dxa"/>
        </w:tblCellMar>
      </w:tblPr>
      <w:tblGrid>
        <w:gridCol w:w="530"/>
        <w:gridCol w:w="1008"/>
        <w:gridCol w:w="1503"/>
        <w:gridCol w:w="680"/>
        <w:gridCol w:w="871"/>
        <w:gridCol w:w="1570"/>
        <w:gridCol w:w="978"/>
        <w:gridCol w:w="1303"/>
        <w:gridCol w:w="1519"/>
      </w:tblGrid>
      <w:tr>
        <w:tblPrEx>
          <w:tblCellMar>
            <w:top w:w="0" w:type="dxa"/>
            <w:left w:w="108" w:type="dxa"/>
            <w:bottom w:w="0" w:type="dxa"/>
            <w:right w:w="108" w:type="dxa"/>
          </w:tblCellMar>
        </w:tblPrEx>
        <w:trPr>
          <w:trHeight w:val="525" w:hRule="atLeast"/>
          <w:jc w:val="center"/>
        </w:trPr>
        <w:tc>
          <w:tcPr>
            <w:tcW w:w="2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color w:val="000000"/>
              </w:rPr>
            </w:pPr>
          </w:p>
        </w:tc>
        <w:tc>
          <w:tcPr>
            <w:tcW w:w="506"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仿宋"/>
                <w:color w:val="000000"/>
              </w:rPr>
            </w:pPr>
            <w:r>
              <w:rPr>
                <w:rFonts w:hint="eastAsia" w:ascii="宋体" w:hAnsi="宋体" w:cs="仿宋"/>
                <w:color w:val="000000"/>
                <w:kern w:val="0"/>
              </w:rPr>
              <w:t>物资名称</w:t>
            </w:r>
          </w:p>
        </w:tc>
        <w:tc>
          <w:tcPr>
            <w:tcW w:w="754"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仿宋"/>
                <w:color w:val="000000"/>
              </w:rPr>
            </w:pPr>
            <w:r>
              <w:rPr>
                <w:rFonts w:hint="eastAsia" w:ascii="宋体" w:hAnsi="宋体" w:cs="仿宋"/>
                <w:color w:val="000000"/>
                <w:kern w:val="0"/>
              </w:rPr>
              <w:t>规格型号</w:t>
            </w:r>
          </w:p>
        </w:tc>
        <w:tc>
          <w:tcPr>
            <w:tcW w:w="341"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仿宋"/>
                <w:color w:val="000000"/>
              </w:rPr>
            </w:pPr>
            <w:r>
              <w:rPr>
                <w:rFonts w:hint="eastAsia" w:ascii="宋体" w:hAnsi="宋体" w:cs="仿宋"/>
                <w:color w:val="000000"/>
                <w:kern w:val="0"/>
              </w:rPr>
              <w:t>计量单位</w:t>
            </w:r>
          </w:p>
        </w:tc>
        <w:tc>
          <w:tcPr>
            <w:tcW w:w="437" w:type="pct"/>
            <w:tcBorders>
              <w:top w:val="single" w:color="000000" w:sz="8" w:space="0"/>
              <w:left w:val="nil"/>
              <w:bottom w:val="single" w:color="000000" w:sz="8" w:space="0"/>
              <w:right w:val="single" w:color="000000" w:sz="8" w:space="0"/>
            </w:tcBorders>
            <w:shd w:val="clear" w:color="auto" w:fill="FFFFFF"/>
            <w:vAlign w:val="center"/>
          </w:tcPr>
          <w:p>
            <w:pPr>
              <w:widowControl/>
              <w:ind w:firstLine="213" w:firstLineChars="100"/>
              <w:jc w:val="center"/>
              <w:textAlignment w:val="center"/>
              <w:rPr>
                <w:rFonts w:ascii="宋体" w:hAnsi="宋体" w:cs="仿宋"/>
                <w:color w:val="000000"/>
              </w:rPr>
            </w:pPr>
            <w:r>
              <w:rPr>
                <w:rFonts w:hint="eastAsia" w:ascii="宋体" w:hAnsi="宋体" w:cs="仿宋"/>
                <w:color w:val="000000"/>
                <w:kern w:val="0"/>
              </w:rPr>
              <w:t>数量</w:t>
            </w:r>
          </w:p>
        </w:tc>
        <w:tc>
          <w:tcPr>
            <w:tcW w:w="788"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仿宋"/>
                <w:color w:val="000000"/>
              </w:rPr>
            </w:pPr>
            <w:r>
              <w:rPr>
                <w:rFonts w:hint="eastAsia" w:ascii="宋体" w:hAnsi="宋体" w:cs="仿宋"/>
                <w:color w:val="000000"/>
                <w:kern w:val="0"/>
              </w:rPr>
              <w:t>交付期</w:t>
            </w:r>
          </w:p>
        </w:tc>
        <w:tc>
          <w:tcPr>
            <w:tcW w:w="490"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仿宋"/>
                <w:color w:val="000000"/>
              </w:rPr>
            </w:pPr>
            <w:r>
              <w:rPr>
                <w:rFonts w:hint="eastAsia" w:ascii="宋体" w:hAnsi="宋体" w:cs="仿宋"/>
                <w:color w:val="000000"/>
                <w:kern w:val="0"/>
              </w:rPr>
              <w:t>交付地点</w:t>
            </w:r>
          </w:p>
        </w:tc>
        <w:tc>
          <w:tcPr>
            <w:tcW w:w="654" w:type="pct"/>
            <w:tcBorders>
              <w:top w:val="single" w:color="000000" w:sz="8" w:space="0"/>
              <w:left w:val="nil"/>
              <w:bottom w:val="single" w:color="000000" w:sz="8" w:space="0"/>
              <w:right w:val="single" w:color="auto" w:sz="4" w:space="0"/>
            </w:tcBorders>
            <w:shd w:val="clear" w:color="auto" w:fill="FFFFFF"/>
            <w:vAlign w:val="center"/>
          </w:tcPr>
          <w:p>
            <w:pPr>
              <w:widowControl/>
              <w:jc w:val="center"/>
              <w:textAlignment w:val="center"/>
              <w:rPr>
                <w:rFonts w:ascii="宋体" w:hAnsi="宋体" w:cs="仿宋"/>
                <w:color w:val="000000"/>
                <w:kern w:val="0"/>
              </w:rPr>
            </w:pPr>
            <w:r>
              <w:rPr>
                <w:rFonts w:hint="eastAsia" w:ascii="宋体" w:hAnsi="宋体" w:cs="仿宋"/>
                <w:color w:val="000000"/>
                <w:kern w:val="0"/>
              </w:rPr>
              <w:t>到站单价</w:t>
            </w:r>
          </w:p>
          <w:p>
            <w:pPr>
              <w:widowControl/>
              <w:jc w:val="center"/>
              <w:textAlignment w:val="center"/>
              <w:rPr>
                <w:rFonts w:ascii="宋体" w:hAnsi="宋体" w:cs="仿宋"/>
                <w:color w:val="000000"/>
                <w:kern w:val="0"/>
              </w:rPr>
            </w:pPr>
            <w:r>
              <w:rPr>
                <w:rFonts w:hint="eastAsia" w:ascii="宋体" w:hAnsi="宋体" w:cs="仿宋"/>
                <w:color w:val="000000"/>
                <w:kern w:val="0"/>
              </w:rPr>
              <w:t>（元）</w:t>
            </w:r>
          </w:p>
        </w:tc>
        <w:tc>
          <w:tcPr>
            <w:tcW w:w="762" w:type="pct"/>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jc w:val="center"/>
              <w:textAlignment w:val="center"/>
              <w:rPr>
                <w:rFonts w:ascii="宋体" w:hAnsi="宋体" w:cs="仿宋"/>
                <w:color w:val="000000"/>
                <w:kern w:val="0"/>
              </w:rPr>
            </w:pPr>
            <w:r>
              <w:rPr>
                <w:rFonts w:hint="eastAsia" w:ascii="宋体" w:hAnsi="宋体" w:cs="仿宋"/>
                <w:color w:val="000000"/>
                <w:kern w:val="0"/>
              </w:rPr>
              <w:t>到站合价</w:t>
            </w:r>
          </w:p>
          <w:p>
            <w:pPr>
              <w:widowControl/>
              <w:jc w:val="center"/>
              <w:textAlignment w:val="center"/>
              <w:rPr>
                <w:rFonts w:ascii="宋体" w:hAnsi="宋体" w:cs="仿宋"/>
                <w:color w:val="000000"/>
                <w:kern w:val="0"/>
              </w:rPr>
            </w:pPr>
            <w:r>
              <w:rPr>
                <w:rFonts w:hint="eastAsia" w:ascii="宋体" w:hAnsi="宋体" w:cs="仿宋"/>
                <w:color w:val="000000"/>
                <w:kern w:val="0"/>
              </w:rPr>
              <w:t>（元）</w:t>
            </w:r>
          </w:p>
        </w:tc>
      </w:tr>
      <w:tr>
        <w:tblPrEx>
          <w:tblCellMar>
            <w:top w:w="0" w:type="dxa"/>
            <w:left w:w="108" w:type="dxa"/>
            <w:bottom w:w="0" w:type="dxa"/>
            <w:right w:w="108" w:type="dxa"/>
          </w:tblCellMar>
        </w:tblPrEx>
        <w:trPr>
          <w:trHeight w:val="181" w:hRule="atLeast"/>
          <w:jc w:val="center"/>
        </w:trPr>
        <w:tc>
          <w:tcPr>
            <w:tcW w:w="266" w:type="pct"/>
            <w:tcBorders>
              <w:top w:val="nil"/>
              <w:left w:val="single" w:color="000000" w:sz="8" w:space="0"/>
              <w:bottom w:val="single" w:color="auto" w:sz="4" w:space="0"/>
              <w:right w:val="single" w:color="000000" w:sz="8" w:space="0"/>
            </w:tcBorders>
            <w:shd w:val="clear" w:color="auto" w:fill="FFFFFF"/>
            <w:vAlign w:val="center"/>
          </w:tcPr>
          <w:p>
            <w:pPr>
              <w:widowControl/>
              <w:jc w:val="center"/>
              <w:textAlignment w:val="center"/>
              <w:rPr>
                <w:rFonts w:ascii="宋体" w:hAnsi="宋体" w:cs="仿宋"/>
                <w:color w:val="000000"/>
                <w:sz w:val="18"/>
                <w:szCs w:val="18"/>
              </w:rPr>
            </w:pPr>
          </w:p>
        </w:tc>
        <w:tc>
          <w:tcPr>
            <w:tcW w:w="506" w:type="pct"/>
            <w:tcBorders>
              <w:top w:val="nil"/>
              <w:left w:val="nil"/>
              <w:bottom w:val="single" w:color="auto" w:sz="4" w:space="0"/>
              <w:right w:val="single" w:color="000000" w:sz="8" w:space="0"/>
            </w:tcBorders>
            <w:shd w:val="clear" w:color="auto" w:fill="FFFFFF"/>
            <w:vAlign w:val="center"/>
          </w:tcPr>
          <w:p>
            <w:pPr>
              <w:rPr>
                <w:rFonts w:hint="eastAsia" w:ascii="宋体" w:hAnsi="宋体"/>
                <w:snapToGrid w:val="0"/>
                <w:kern w:val="0"/>
                <w:sz w:val="18"/>
                <w:szCs w:val="18"/>
              </w:rPr>
            </w:pPr>
            <w:r>
              <w:rPr>
                <w:rFonts w:hint="eastAsia" w:ascii="宋体" w:hAnsi="宋体"/>
                <w:snapToGrid w:val="0"/>
                <w:kern w:val="0"/>
                <w:sz w:val="18"/>
                <w:szCs w:val="18"/>
              </w:rPr>
              <w:t>柱帽</w:t>
            </w:r>
          </w:p>
        </w:tc>
        <w:tc>
          <w:tcPr>
            <w:tcW w:w="754" w:type="pct"/>
            <w:tcBorders>
              <w:top w:val="nil"/>
              <w:left w:val="nil"/>
              <w:bottom w:val="single" w:color="auto" w:sz="4" w:space="0"/>
              <w:right w:val="single" w:color="000000" w:sz="8" w:space="0"/>
            </w:tcBorders>
            <w:shd w:val="clear" w:color="auto" w:fill="FFFFFF"/>
            <w:vAlign w:val="center"/>
          </w:tcPr>
          <w:p>
            <w:pPr>
              <w:widowControl/>
              <w:jc w:val="center"/>
              <w:rPr>
                <w:rFonts w:ascii="宋体" w:hAnsi="宋体"/>
                <w:snapToGrid w:val="0"/>
                <w:kern w:val="0"/>
                <w:sz w:val="18"/>
                <w:szCs w:val="18"/>
              </w:rPr>
            </w:pPr>
            <w:r>
              <w:rPr>
                <w:rFonts w:hint="eastAsia" w:ascii="宋体" w:hAnsi="宋体" w:cs="宋体"/>
                <w:color w:val="000000"/>
                <w:kern w:val="0"/>
                <w:sz w:val="18"/>
                <w:szCs w:val="18"/>
              </w:rPr>
              <w:t>0.18*0.18*0.15</w:t>
            </w:r>
          </w:p>
        </w:tc>
        <w:tc>
          <w:tcPr>
            <w:tcW w:w="341" w:type="pct"/>
            <w:tcBorders>
              <w:top w:val="nil"/>
              <w:left w:val="nil"/>
              <w:bottom w:val="single" w:color="auto" w:sz="4"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个</w:t>
            </w:r>
          </w:p>
        </w:tc>
        <w:tc>
          <w:tcPr>
            <w:tcW w:w="437" w:type="pct"/>
            <w:tcBorders>
              <w:top w:val="nil"/>
              <w:left w:val="nil"/>
              <w:bottom w:val="single" w:color="000000"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 xml:space="preserve">547 </w:t>
            </w:r>
          </w:p>
        </w:tc>
        <w:tc>
          <w:tcPr>
            <w:tcW w:w="788" w:type="pct"/>
            <w:tcBorders>
              <w:top w:val="nil"/>
              <w:left w:val="nil"/>
              <w:bottom w:val="single" w:color="000000"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2021年8月</w:t>
            </w:r>
          </w:p>
        </w:tc>
        <w:tc>
          <w:tcPr>
            <w:tcW w:w="490" w:type="pct"/>
            <w:tcBorders>
              <w:top w:val="nil"/>
              <w:left w:val="nil"/>
              <w:bottom w:val="single" w:color="000000"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伊春市</w:t>
            </w:r>
          </w:p>
        </w:tc>
        <w:tc>
          <w:tcPr>
            <w:tcW w:w="654" w:type="pct"/>
            <w:tcBorders>
              <w:top w:val="nil"/>
              <w:left w:val="nil"/>
              <w:bottom w:val="single" w:color="000000" w:sz="8" w:space="0"/>
              <w:right w:val="single" w:color="auto" w:sz="4" w:space="0"/>
            </w:tcBorders>
            <w:shd w:val="clear" w:color="auto" w:fill="FFFFFF"/>
            <w:vAlign w:val="center"/>
          </w:tcPr>
          <w:p>
            <w:pPr>
              <w:jc w:val="center"/>
              <w:rPr>
                <w:rFonts w:ascii="宋体" w:hAnsi="宋体" w:cs="Times New Roman"/>
                <w:snapToGrid w:val="0"/>
                <w:kern w:val="0"/>
                <w:sz w:val="18"/>
                <w:szCs w:val="18"/>
              </w:rPr>
            </w:pPr>
            <w:r>
              <w:rPr>
                <w:rFonts w:hint="eastAsia" w:ascii="宋体" w:hAnsi="宋体"/>
                <w:snapToGrid w:val="0"/>
                <w:kern w:val="0"/>
                <w:sz w:val="18"/>
                <w:szCs w:val="18"/>
              </w:rPr>
              <w:t>17</w:t>
            </w:r>
          </w:p>
        </w:tc>
        <w:tc>
          <w:tcPr>
            <w:tcW w:w="762" w:type="pct"/>
            <w:tcBorders>
              <w:top w:val="nil"/>
              <w:left w:val="single" w:color="auto" w:sz="4"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9299</w:t>
            </w:r>
          </w:p>
        </w:tc>
      </w:tr>
      <w:tr>
        <w:tblPrEx>
          <w:tblCellMar>
            <w:top w:w="0" w:type="dxa"/>
            <w:left w:w="108" w:type="dxa"/>
            <w:bottom w:w="0" w:type="dxa"/>
            <w:right w:w="108" w:type="dxa"/>
          </w:tblCellMar>
        </w:tblPrEx>
        <w:trPr>
          <w:trHeight w:val="270" w:hRule="atLeast"/>
          <w:jc w:val="center"/>
        </w:trPr>
        <w:tc>
          <w:tcPr>
            <w:tcW w:w="266" w:type="pct"/>
            <w:tcBorders>
              <w:top w:val="single" w:color="auto" w:sz="4" w:space="0"/>
              <w:left w:val="single" w:color="000000" w:sz="8" w:space="0"/>
              <w:bottom w:val="single" w:color="auto" w:sz="4" w:space="0"/>
              <w:right w:val="single" w:color="000000" w:sz="8" w:space="0"/>
            </w:tcBorders>
            <w:shd w:val="clear" w:color="auto" w:fill="FFFFFF"/>
            <w:vAlign w:val="center"/>
          </w:tcPr>
          <w:p>
            <w:pPr>
              <w:rPr>
                <w:rFonts w:ascii="宋体" w:hAnsi="宋体" w:cs="仿宋"/>
                <w:color w:val="000000"/>
                <w:sz w:val="18"/>
                <w:szCs w:val="18"/>
              </w:rPr>
            </w:pPr>
          </w:p>
        </w:tc>
        <w:tc>
          <w:tcPr>
            <w:tcW w:w="506" w:type="pct"/>
            <w:tcBorders>
              <w:top w:val="single" w:color="auto" w:sz="4" w:space="0"/>
              <w:left w:val="nil"/>
              <w:bottom w:val="single" w:color="auto" w:sz="4" w:space="0"/>
              <w:right w:val="single" w:color="000000" w:sz="8" w:space="0"/>
            </w:tcBorders>
            <w:shd w:val="clear" w:color="auto" w:fill="FFFFFF"/>
            <w:vAlign w:val="center"/>
          </w:tcPr>
          <w:p>
            <w:pPr>
              <w:rPr>
                <w:rFonts w:hint="eastAsia" w:ascii="宋体" w:hAnsi="宋体"/>
                <w:snapToGrid w:val="0"/>
                <w:kern w:val="0"/>
                <w:sz w:val="18"/>
                <w:szCs w:val="18"/>
              </w:rPr>
            </w:pPr>
            <w:r>
              <w:rPr>
                <w:rFonts w:hint="eastAsia" w:ascii="宋体" w:hAnsi="宋体"/>
                <w:snapToGrid w:val="0"/>
                <w:kern w:val="0"/>
                <w:sz w:val="18"/>
                <w:szCs w:val="18"/>
              </w:rPr>
              <w:t>立柱</w:t>
            </w:r>
          </w:p>
        </w:tc>
        <w:tc>
          <w:tcPr>
            <w:tcW w:w="754" w:type="pct"/>
            <w:tcBorders>
              <w:top w:val="single" w:color="auto" w:sz="4" w:space="0"/>
              <w:left w:val="nil"/>
              <w:bottom w:val="single" w:color="auto" w:sz="4" w:space="0"/>
              <w:right w:val="single" w:color="000000" w:sz="8" w:space="0"/>
            </w:tcBorders>
            <w:shd w:val="clear" w:color="auto" w:fill="FFFFFF"/>
            <w:vAlign w:val="center"/>
          </w:tcPr>
          <w:p>
            <w:pPr>
              <w:widowControl/>
              <w:jc w:val="center"/>
              <w:rPr>
                <w:rFonts w:ascii="宋体" w:hAnsi="宋体"/>
                <w:snapToGrid w:val="0"/>
                <w:kern w:val="0"/>
                <w:sz w:val="18"/>
                <w:szCs w:val="18"/>
              </w:rPr>
            </w:pPr>
            <w:r>
              <w:rPr>
                <w:rFonts w:hint="eastAsia" w:ascii="宋体" w:hAnsi="宋体" w:cs="宋体"/>
                <w:color w:val="000000"/>
                <w:kern w:val="0"/>
                <w:sz w:val="18"/>
                <w:szCs w:val="18"/>
              </w:rPr>
              <w:t>1.8m</w:t>
            </w:r>
          </w:p>
        </w:tc>
        <w:tc>
          <w:tcPr>
            <w:tcW w:w="341" w:type="pct"/>
            <w:tcBorders>
              <w:top w:val="single" w:color="auto" w:sz="4" w:space="0"/>
              <w:left w:val="nil"/>
              <w:bottom w:val="single" w:color="000000"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根</w:t>
            </w:r>
          </w:p>
        </w:tc>
        <w:tc>
          <w:tcPr>
            <w:tcW w:w="437" w:type="pct"/>
            <w:tcBorders>
              <w:top w:val="nil"/>
              <w:left w:val="nil"/>
              <w:bottom w:val="single" w:color="000000"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 xml:space="preserve">552 </w:t>
            </w:r>
          </w:p>
        </w:tc>
        <w:tc>
          <w:tcPr>
            <w:tcW w:w="788" w:type="pct"/>
            <w:tcBorders>
              <w:top w:val="nil"/>
              <w:left w:val="nil"/>
              <w:bottom w:val="single" w:color="000000"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2021年8月</w:t>
            </w:r>
          </w:p>
        </w:tc>
        <w:tc>
          <w:tcPr>
            <w:tcW w:w="490" w:type="pct"/>
            <w:tcBorders>
              <w:top w:val="nil"/>
              <w:left w:val="nil"/>
              <w:bottom w:val="single" w:color="000000" w:sz="8" w:space="0"/>
              <w:right w:val="single" w:color="000000" w:sz="8" w:space="0"/>
            </w:tcBorders>
            <w:shd w:val="clear" w:color="auto" w:fill="FFFFFF"/>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伊春市</w:t>
            </w:r>
          </w:p>
        </w:tc>
        <w:tc>
          <w:tcPr>
            <w:tcW w:w="654" w:type="pct"/>
            <w:tcBorders>
              <w:top w:val="nil"/>
              <w:left w:val="nil"/>
              <w:bottom w:val="single" w:color="000000" w:sz="8" w:space="0"/>
              <w:right w:val="single" w:color="auto" w:sz="4" w:space="0"/>
            </w:tcBorders>
            <w:shd w:val="clear" w:color="auto" w:fill="FFFFFF"/>
            <w:vAlign w:val="center"/>
          </w:tcPr>
          <w:p>
            <w:pPr>
              <w:jc w:val="center"/>
              <w:rPr>
                <w:rFonts w:ascii="宋体" w:hAnsi="宋体" w:cs="Times New Roman"/>
                <w:snapToGrid w:val="0"/>
                <w:kern w:val="0"/>
                <w:sz w:val="18"/>
                <w:szCs w:val="18"/>
              </w:rPr>
            </w:pPr>
            <w:r>
              <w:rPr>
                <w:rFonts w:hint="eastAsia" w:ascii="宋体" w:hAnsi="宋体"/>
                <w:snapToGrid w:val="0"/>
                <w:kern w:val="0"/>
                <w:sz w:val="18"/>
                <w:szCs w:val="18"/>
              </w:rPr>
              <w:t>219</w:t>
            </w:r>
          </w:p>
        </w:tc>
        <w:tc>
          <w:tcPr>
            <w:tcW w:w="762" w:type="pct"/>
            <w:tcBorders>
              <w:top w:val="nil"/>
              <w:left w:val="single" w:color="auto" w:sz="4"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120888</w:t>
            </w:r>
          </w:p>
        </w:tc>
      </w:tr>
      <w:tr>
        <w:tblPrEx>
          <w:tblCellMar>
            <w:top w:w="0" w:type="dxa"/>
            <w:left w:w="108" w:type="dxa"/>
            <w:bottom w:w="0" w:type="dxa"/>
            <w:right w:w="108" w:type="dxa"/>
          </w:tblCellMar>
        </w:tblPrEx>
        <w:trPr>
          <w:trHeight w:val="40" w:hRule="atLeast"/>
          <w:jc w:val="center"/>
        </w:trPr>
        <w:tc>
          <w:tcPr>
            <w:tcW w:w="266" w:type="pct"/>
            <w:tcBorders>
              <w:top w:val="single" w:color="auto" w:sz="4" w:space="0"/>
              <w:left w:val="single" w:color="000000" w:sz="8" w:space="0"/>
              <w:bottom w:val="single" w:color="auto" w:sz="4" w:space="0"/>
              <w:right w:val="single" w:color="000000" w:sz="8" w:space="0"/>
            </w:tcBorders>
            <w:shd w:val="clear" w:color="auto" w:fill="FFFFFF"/>
            <w:vAlign w:val="center"/>
          </w:tcPr>
          <w:p>
            <w:pPr>
              <w:rPr>
                <w:rFonts w:ascii="宋体" w:hAnsi="宋体" w:cs="仿宋"/>
                <w:color w:val="000000"/>
                <w:sz w:val="18"/>
                <w:szCs w:val="18"/>
              </w:rPr>
            </w:pPr>
          </w:p>
        </w:tc>
        <w:tc>
          <w:tcPr>
            <w:tcW w:w="506" w:type="pct"/>
            <w:tcBorders>
              <w:top w:val="single" w:color="auto" w:sz="4" w:space="0"/>
              <w:left w:val="nil"/>
              <w:bottom w:val="single" w:color="auto" w:sz="4" w:space="0"/>
              <w:right w:val="single" w:color="000000" w:sz="8" w:space="0"/>
            </w:tcBorders>
            <w:shd w:val="clear" w:color="auto" w:fill="FFFFFF"/>
            <w:vAlign w:val="center"/>
          </w:tcPr>
          <w:p>
            <w:pPr>
              <w:rPr>
                <w:rFonts w:hint="eastAsia" w:ascii="宋体" w:hAnsi="宋体"/>
                <w:snapToGrid w:val="0"/>
                <w:kern w:val="0"/>
                <w:sz w:val="18"/>
                <w:szCs w:val="18"/>
              </w:rPr>
            </w:pPr>
            <w:r>
              <w:rPr>
                <w:rFonts w:hint="eastAsia" w:ascii="宋体" w:hAnsi="宋体"/>
                <w:snapToGrid w:val="0"/>
                <w:kern w:val="0"/>
                <w:sz w:val="18"/>
                <w:szCs w:val="18"/>
              </w:rPr>
              <w:t>上梁</w:t>
            </w:r>
          </w:p>
        </w:tc>
        <w:tc>
          <w:tcPr>
            <w:tcW w:w="754" w:type="pct"/>
            <w:tcBorders>
              <w:top w:val="single" w:color="auto" w:sz="4" w:space="0"/>
              <w:left w:val="nil"/>
              <w:bottom w:val="single" w:color="000000" w:sz="8" w:space="0"/>
              <w:right w:val="single" w:color="000000" w:sz="8" w:space="0"/>
            </w:tcBorders>
            <w:shd w:val="clear" w:color="auto" w:fill="FFFFFF"/>
            <w:vAlign w:val="center"/>
          </w:tcPr>
          <w:p>
            <w:pPr>
              <w:widowControl/>
              <w:jc w:val="center"/>
              <w:rPr>
                <w:rFonts w:ascii="宋体" w:hAnsi="宋体"/>
                <w:snapToGrid w:val="0"/>
                <w:kern w:val="0"/>
                <w:sz w:val="18"/>
                <w:szCs w:val="18"/>
              </w:rPr>
            </w:pPr>
            <w:r>
              <w:rPr>
                <w:rFonts w:hint="eastAsia" w:ascii="宋体" w:hAnsi="宋体" w:cs="宋体"/>
                <w:color w:val="000000"/>
                <w:kern w:val="0"/>
                <w:sz w:val="18"/>
                <w:szCs w:val="18"/>
              </w:rPr>
              <w:t>1.8m</w:t>
            </w:r>
          </w:p>
        </w:tc>
        <w:tc>
          <w:tcPr>
            <w:tcW w:w="341" w:type="pct"/>
            <w:tcBorders>
              <w:top w:val="nil"/>
              <w:left w:val="nil"/>
              <w:bottom w:val="single" w:color="000000"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根</w:t>
            </w:r>
          </w:p>
        </w:tc>
        <w:tc>
          <w:tcPr>
            <w:tcW w:w="437" w:type="pct"/>
            <w:tcBorders>
              <w:top w:val="nil"/>
              <w:left w:val="nil"/>
              <w:bottom w:val="single" w:color="000000"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 xml:space="preserve">552 </w:t>
            </w:r>
          </w:p>
        </w:tc>
        <w:tc>
          <w:tcPr>
            <w:tcW w:w="788" w:type="pct"/>
            <w:tcBorders>
              <w:top w:val="nil"/>
              <w:left w:val="nil"/>
              <w:bottom w:val="single" w:color="000000"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2021年8月</w:t>
            </w:r>
          </w:p>
        </w:tc>
        <w:tc>
          <w:tcPr>
            <w:tcW w:w="490" w:type="pct"/>
            <w:tcBorders>
              <w:top w:val="nil"/>
              <w:left w:val="nil"/>
              <w:bottom w:val="single" w:color="000000" w:sz="8" w:space="0"/>
              <w:right w:val="single" w:color="000000" w:sz="8" w:space="0"/>
            </w:tcBorders>
            <w:shd w:val="clear" w:color="auto" w:fill="FFFFFF"/>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伊春市</w:t>
            </w:r>
          </w:p>
        </w:tc>
        <w:tc>
          <w:tcPr>
            <w:tcW w:w="654" w:type="pct"/>
            <w:tcBorders>
              <w:top w:val="nil"/>
              <w:left w:val="nil"/>
              <w:bottom w:val="single" w:color="000000" w:sz="8" w:space="0"/>
              <w:right w:val="single" w:color="auto" w:sz="4" w:space="0"/>
            </w:tcBorders>
            <w:shd w:val="clear" w:color="auto" w:fill="FFFFFF"/>
            <w:vAlign w:val="center"/>
          </w:tcPr>
          <w:p>
            <w:pPr>
              <w:jc w:val="center"/>
              <w:rPr>
                <w:rFonts w:ascii="宋体" w:hAnsi="宋体" w:cs="Times New Roman"/>
                <w:snapToGrid w:val="0"/>
                <w:kern w:val="0"/>
                <w:sz w:val="18"/>
                <w:szCs w:val="18"/>
              </w:rPr>
            </w:pPr>
            <w:r>
              <w:rPr>
                <w:rFonts w:hint="eastAsia" w:ascii="宋体" w:hAnsi="宋体"/>
                <w:snapToGrid w:val="0"/>
                <w:kern w:val="0"/>
                <w:sz w:val="18"/>
                <w:szCs w:val="18"/>
              </w:rPr>
              <w:t>137</w:t>
            </w:r>
          </w:p>
        </w:tc>
        <w:tc>
          <w:tcPr>
            <w:tcW w:w="762" w:type="pct"/>
            <w:tcBorders>
              <w:top w:val="nil"/>
              <w:left w:val="single" w:color="auto" w:sz="4"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75624</w:t>
            </w:r>
          </w:p>
        </w:tc>
      </w:tr>
      <w:tr>
        <w:tblPrEx>
          <w:tblCellMar>
            <w:top w:w="0" w:type="dxa"/>
            <w:left w:w="108" w:type="dxa"/>
            <w:bottom w:w="0" w:type="dxa"/>
            <w:right w:w="108" w:type="dxa"/>
          </w:tblCellMar>
        </w:tblPrEx>
        <w:trPr>
          <w:trHeight w:val="40" w:hRule="atLeast"/>
          <w:jc w:val="center"/>
        </w:trPr>
        <w:tc>
          <w:tcPr>
            <w:tcW w:w="266" w:type="pct"/>
            <w:tcBorders>
              <w:top w:val="single" w:color="auto" w:sz="4" w:space="0"/>
              <w:left w:val="single" w:color="000000" w:sz="8" w:space="0"/>
              <w:right w:val="single" w:color="000000" w:sz="8" w:space="0"/>
            </w:tcBorders>
            <w:shd w:val="clear" w:color="auto" w:fill="FFFFFF"/>
            <w:vAlign w:val="center"/>
          </w:tcPr>
          <w:p>
            <w:pPr>
              <w:widowControl/>
              <w:textAlignment w:val="center"/>
              <w:rPr>
                <w:rFonts w:ascii="宋体" w:hAnsi="宋体" w:cs="仿宋"/>
                <w:color w:val="000000"/>
                <w:sz w:val="18"/>
                <w:szCs w:val="18"/>
              </w:rPr>
            </w:pPr>
          </w:p>
        </w:tc>
        <w:tc>
          <w:tcPr>
            <w:tcW w:w="506" w:type="pct"/>
            <w:tcBorders>
              <w:top w:val="single" w:color="auto" w:sz="4" w:space="0"/>
              <w:left w:val="nil"/>
              <w:right w:val="single" w:color="000000" w:sz="8" w:space="0"/>
            </w:tcBorders>
            <w:shd w:val="clear" w:color="auto" w:fill="FFFFFF"/>
            <w:vAlign w:val="center"/>
          </w:tcPr>
          <w:p>
            <w:pPr>
              <w:rPr>
                <w:rFonts w:hint="eastAsia" w:ascii="宋体" w:hAnsi="宋体"/>
                <w:snapToGrid w:val="0"/>
                <w:kern w:val="0"/>
                <w:sz w:val="18"/>
                <w:szCs w:val="18"/>
              </w:rPr>
            </w:pPr>
            <w:r>
              <w:rPr>
                <w:rFonts w:hint="eastAsia" w:ascii="宋体" w:hAnsi="宋体"/>
                <w:snapToGrid w:val="0"/>
                <w:kern w:val="0"/>
                <w:sz w:val="18"/>
                <w:szCs w:val="18"/>
              </w:rPr>
              <w:t>下梁</w:t>
            </w:r>
          </w:p>
        </w:tc>
        <w:tc>
          <w:tcPr>
            <w:tcW w:w="754" w:type="pct"/>
            <w:tcBorders>
              <w:top w:val="nil"/>
              <w:left w:val="nil"/>
              <w:bottom w:val="single" w:color="auto" w:sz="8" w:space="0"/>
              <w:right w:val="single" w:color="000000" w:sz="8" w:space="0"/>
            </w:tcBorders>
            <w:shd w:val="clear" w:color="auto" w:fill="FFFFFF"/>
            <w:vAlign w:val="center"/>
          </w:tcPr>
          <w:p>
            <w:pPr>
              <w:widowControl/>
              <w:jc w:val="center"/>
              <w:rPr>
                <w:rFonts w:ascii="宋体" w:hAnsi="宋体"/>
                <w:snapToGrid w:val="0"/>
                <w:kern w:val="0"/>
                <w:sz w:val="18"/>
                <w:szCs w:val="18"/>
              </w:rPr>
            </w:pPr>
            <w:r>
              <w:rPr>
                <w:rFonts w:hint="eastAsia" w:ascii="宋体" w:hAnsi="宋体" w:cs="宋体"/>
                <w:color w:val="000000"/>
                <w:kern w:val="0"/>
                <w:sz w:val="18"/>
                <w:szCs w:val="18"/>
              </w:rPr>
              <w:t>1.8m</w:t>
            </w:r>
          </w:p>
        </w:tc>
        <w:tc>
          <w:tcPr>
            <w:tcW w:w="341" w:type="pct"/>
            <w:tcBorders>
              <w:top w:val="nil"/>
              <w:left w:val="nil"/>
              <w:bottom w:val="single" w:color="auto"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根</w:t>
            </w:r>
          </w:p>
        </w:tc>
        <w:tc>
          <w:tcPr>
            <w:tcW w:w="437" w:type="pct"/>
            <w:tcBorders>
              <w:top w:val="nil"/>
              <w:left w:val="nil"/>
              <w:bottom w:val="single" w:color="auto"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 xml:space="preserve">552 </w:t>
            </w:r>
          </w:p>
        </w:tc>
        <w:tc>
          <w:tcPr>
            <w:tcW w:w="788" w:type="pct"/>
            <w:tcBorders>
              <w:top w:val="nil"/>
              <w:left w:val="nil"/>
              <w:bottom w:val="single" w:color="auto"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2021年8月</w:t>
            </w:r>
          </w:p>
        </w:tc>
        <w:tc>
          <w:tcPr>
            <w:tcW w:w="490" w:type="pct"/>
            <w:tcBorders>
              <w:top w:val="nil"/>
              <w:left w:val="nil"/>
              <w:bottom w:val="single" w:color="auto" w:sz="8" w:space="0"/>
              <w:right w:val="single" w:color="000000" w:sz="8" w:space="0"/>
            </w:tcBorders>
            <w:shd w:val="clear" w:color="auto" w:fill="FFFFFF"/>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伊春市</w:t>
            </w:r>
          </w:p>
        </w:tc>
        <w:tc>
          <w:tcPr>
            <w:tcW w:w="654" w:type="pct"/>
            <w:tcBorders>
              <w:top w:val="nil"/>
              <w:left w:val="nil"/>
              <w:bottom w:val="single" w:color="auto" w:sz="8" w:space="0"/>
              <w:right w:val="single" w:color="auto" w:sz="4" w:space="0"/>
            </w:tcBorders>
            <w:shd w:val="clear" w:color="auto" w:fill="FFFFFF"/>
            <w:vAlign w:val="center"/>
          </w:tcPr>
          <w:p>
            <w:pPr>
              <w:jc w:val="center"/>
              <w:rPr>
                <w:rFonts w:ascii="宋体" w:hAnsi="宋体" w:cs="Times New Roman"/>
                <w:snapToGrid w:val="0"/>
                <w:kern w:val="0"/>
                <w:sz w:val="18"/>
                <w:szCs w:val="18"/>
              </w:rPr>
            </w:pPr>
            <w:r>
              <w:rPr>
                <w:rFonts w:hint="eastAsia" w:ascii="宋体" w:hAnsi="宋体"/>
                <w:snapToGrid w:val="0"/>
                <w:kern w:val="0"/>
                <w:sz w:val="18"/>
                <w:szCs w:val="18"/>
              </w:rPr>
              <w:t>159</w:t>
            </w:r>
          </w:p>
        </w:tc>
        <w:tc>
          <w:tcPr>
            <w:tcW w:w="762" w:type="pct"/>
            <w:tcBorders>
              <w:top w:val="nil"/>
              <w:left w:val="single" w:color="auto" w:sz="4" w:space="0"/>
              <w:bottom w:val="single" w:color="auto"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87768</w:t>
            </w:r>
          </w:p>
        </w:tc>
      </w:tr>
      <w:tr>
        <w:tblPrEx>
          <w:tblCellMar>
            <w:top w:w="0" w:type="dxa"/>
            <w:left w:w="108" w:type="dxa"/>
            <w:bottom w:w="0" w:type="dxa"/>
            <w:right w:w="108" w:type="dxa"/>
          </w:tblCellMar>
        </w:tblPrEx>
        <w:trPr>
          <w:trHeight w:val="40" w:hRule="atLeast"/>
          <w:jc w:val="center"/>
        </w:trPr>
        <w:tc>
          <w:tcPr>
            <w:tcW w:w="266" w:type="pct"/>
            <w:tcBorders>
              <w:top w:val="single" w:color="auto" w:sz="4" w:space="0"/>
              <w:left w:val="single" w:color="000000" w:sz="8" w:space="0"/>
              <w:right w:val="single" w:color="000000" w:sz="8" w:space="0"/>
            </w:tcBorders>
            <w:shd w:val="clear" w:color="auto" w:fill="FFFFFF"/>
            <w:vAlign w:val="center"/>
          </w:tcPr>
          <w:p>
            <w:pPr>
              <w:widowControl/>
              <w:textAlignment w:val="center"/>
              <w:rPr>
                <w:rFonts w:ascii="宋体" w:hAnsi="宋体" w:cs="仿宋"/>
                <w:color w:val="000000"/>
                <w:sz w:val="18"/>
                <w:szCs w:val="18"/>
              </w:rPr>
            </w:pPr>
          </w:p>
        </w:tc>
        <w:tc>
          <w:tcPr>
            <w:tcW w:w="506" w:type="pct"/>
            <w:tcBorders>
              <w:top w:val="single" w:color="auto" w:sz="4" w:space="0"/>
              <w:left w:val="nil"/>
              <w:right w:val="single" w:color="000000" w:sz="8" w:space="0"/>
            </w:tcBorders>
            <w:shd w:val="clear" w:color="auto" w:fill="FFFFFF"/>
            <w:vAlign w:val="center"/>
          </w:tcPr>
          <w:p>
            <w:pPr>
              <w:rPr>
                <w:rFonts w:hint="eastAsia" w:ascii="宋体" w:hAnsi="宋体"/>
                <w:snapToGrid w:val="0"/>
                <w:kern w:val="0"/>
                <w:sz w:val="18"/>
                <w:szCs w:val="18"/>
              </w:rPr>
            </w:pPr>
            <w:r>
              <w:rPr>
                <w:rFonts w:hint="eastAsia" w:ascii="宋体" w:hAnsi="宋体"/>
                <w:snapToGrid w:val="0"/>
                <w:kern w:val="0"/>
                <w:sz w:val="18"/>
                <w:szCs w:val="18"/>
              </w:rPr>
              <w:t>3柱拦片</w:t>
            </w:r>
          </w:p>
        </w:tc>
        <w:tc>
          <w:tcPr>
            <w:tcW w:w="754" w:type="pct"/>
            <w:tcBorders>
              <w:top w:val="nil"/>
              <w:left w:val="nil"/>
              <w:bottom w:val="single" w:color="auto" w:sz="8" w:space="0"/>
              <w:right w:val="single" w:color="000000" w:sz="8" w:space="0"/>
            </w:tcBorders>
            <w:shd w:val="clear" w:color="auto" w:fill="FFFFFF"/>
            <w:vAlign w:val="center"/>
          </w:tcPr>
          <w:p>
            <w:pPr>
              <w:widowControl/>
              <w:jc w:val="center"/>
              <w:rPr>
                <w:rFonts w:ascii="宋体" w:hAnsi="宋体"/>
                <w:snapToGrid w:val="0"/>
                <w:kern w:val="0"/>
                <w:sz w:val="18"/>
                <w:szCs w:val="18"/>
              </w:rPr>
            </w:pPr>
            <w:r>
              <w:rPr>
                <w:rFonts w:hint="eastAsia" w:ascii="宋体" w:hAnsi="宋体" w:cs="宋体"/>
                <w:color w:val="000000"/>
                <w:kern w:val="0"/>
                <w:sz w:val="18"/>
                <w:szCs w:val="18"/>
              </w:rPr>
              <w:t>1.8m*0.8</w:t>
            </w:r>
          </w:p>
        </w:tc>
        <w:tc>
          <w:tcPr>
            <w:tcW w:w="341" w:type="pct"/>
            <w:tcBorders>
              <w:top w:val="nil"/>
              <w:left w:val="nil"/>
              <w:bottom w:val="single" w:color="auto"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片</w:t>
            </w:r>
          </w:p>
        </w:tc>
        <w:tc>
          <w:tcPr>
            <w:tcW w:w="437" w:type="pct"/>
            <w:tcBorders>
              <w:top w:val="nil"/>
              <w:left w:val="nil"/>
              <w:bottom w:val="single" w:color="auto"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 xml:space="preserve">1104 </w:t>
            </w:r>
          </w:p>
        </w:tc>
        <w:tc>
          <w:tcPr>
            <w:tcW w:w="788" w:type="pct"/>
            <w:tcBorders>
              <w:top w:val="nil"/>
              <w:left w:val="nil"/>
              <w:bottom w:val="single" w:color="auto" w:sz="8" w:space="0"/>
              <w:right w:val="single" w:color="000000" w:sz="8" w:space="0"/>
            </w:tcBorders>
            <w:shd w:val="clear" w:color="auto" w:fill="FFFFFF"/>
            <w:vAlign w:val="center"/>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2021年8月</w:t>
            </w:r>
          </w:p>
        </w:tc>
        <w:tc>
          <w:tcPr>
            <w:tcW w:w="490" w:type="pct"/>
            <w:tcBorders>
              <w:top w:val="nil"/>
              <w:left w:val="nil"/>
              <w:bottom w:val="single" w:color="auto" w:sz="8" w:space="0"/>
              <w:right w:val="single" w:color="000000" w:sz="8" w:space="0"/>
            </w:tcBorders>
            <w:shd w:val="clear" w:color="auto" w:fill="FFFFFF"/>
          </w:tcPr>
          <w:p>
            <w:pPr>
              <w:widowControl/>
              <w:jc w:val="center"/>
              <w:rPr>
                <w:rFonts w:ascii="宋体" w:hAnsi="宋体" w:cs="Times New Roman"/>
                <w:snapToGrid w:val="0"/>
                <w:kern w:val="0"/>
                <w:sz w:val="18"/>
                <w:szCs w:val="18"/>
              </w:rPr>
            </w:pPr>
            <w:r>
              <w:rPr>
                <w:rFonts w:hint="eastAsia" w:ascii="宋体" w:hAnsi="宋体" w:cs="宋体"/>
                <w:color w:val="000000"/>
                <w:kern w:val="0"/>
                <w:sz w:val="18"/>
                <w:szCs w:val="18"/>
              </w:rPr>
              <w:t>伊春市</w:t>
            </w:r>
          </w:p>
        </w:tc>
        <w:tc>
          <w:tcPr>
            <w:tcW w:w="654" w:type="pct"/>
            <w:tcBorders>
              <w:top w:val="nil"/>
              <w:left w:val="nil"/>
              <w:bottom w:val="single" w:color="auto" w:sz="8" w:space="0"/>
              <w:right w:val="single" w:color="auto" w:sz="4" w:space="0"/>
            </w:tcBorders>
            <w:shd w:val="clear" w:color="auto" w:fill="FFFFFF"/>
            <w:vAlign w:val="center"/>
          </w:tcPr>
          <w:p>
            <w:pPr>
              <w:jc w:val="center"/>
              <w:rPr>
                <w:rFonts w:ascii="宋体" w:hAnsi="宋体" w:cs="Times New Roman"/>
                <w:snapToGrid w:val="0"/>
                <w:kern w:val="0"/>
                <w:sz w:val="18"/>
                <w:szCs w:val="18"/>
              </w:rPr>
            </w:pPr>
            <w:r>
              <w:rPr>
                <w:rFonts w:hint="eastAsia" w:ascii="宋体" w:hAnsi="宋体"/>
                <w:snapToGrid w:val="0"/>
                <w:kern w:val="0"/>
                <w:sz w:val="18"/>
                <w:szCs w:val="18"/>
              </w:rPr>
              <w:t>109</w:t>
            </w:r>
          </w:p>
        </w:tc>
        <w:tc>
          <w:tcPr>
            <w:tcW w:w="762" w:type="pct"/>
            <w:tcBorders>
              <w:top w:val="nil"/>
              <w:left w:val="single" w:color="auto" w:sz="4" w:space="0"/>
              <w:bottom w:val="single" w:color="auto"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120336</w:t>
            </w:r>
          </w:p>
        </w:tc>
      </w:tr>
      <w:tr>
        <w:tblPrEx>
          <w:tblCellMar>
            <w:top w:w="0" w:type="dxa"/>
            <w:left w:w="108" w:type="dxa"/>
            <w:bottom w:w="0" w:type="dxa"/>
            <w:right w:w="108" w:type="dxa"/>
          </w:tblCellMar>
        </w:tblPrEx>
        <w:trPr>
          <w:trHeight w:val="40" w:hRule="atLeast"/>
          <w:jc w:val="center"/>
        </w:trPr>
        <w:tc>
          <w:tcPr>
            <w:tcW w:w="266" w:type="pct"/>
            <w:tcBorders>
              <w:top w:val="single" w:color="auto" w:sz="4" w:space="0"/>
              <w:left w:val="single" w:color="000000" w:sz="8" w:space="0"/>
              <w:right w:val="single" w:color="000000" w:sz="8" w:space="0"/>
            </w:tcBorders>
            <w:shd w:val="clear" w:color="auto" w:fill="FFFFFF"/>
            <w:vAlign w:val="center"/>
          </w:tcPr>
          <w:p>
            <w:pPr>
              <w:widowControl/>
              <w:textAlignment w:val="center"/>
              <w:rPr>
                <w:rFonts w:hint="eastAsia" w:ascii="宋体" w:hAnsi="宋体" w:cs="仿宋"/>
                <w:color w:val="000000"/>
                <w:sz w:val="18"/>
                <w:szCs w:val="18"/>
              </w:rPr>
            </w:pPr>
          </w:p>
        </w:tc>
        <w:tc>
          <w:tcPr>
            <w:tcW w:w="506" w:type="pct"/>
            <w:tcBorders>
              <w:top w:val="single" w:color="auto" w:sz="4" w:space="0"/>
              <w:left w:val="nil"/>
              <w:right w:val="single" w:color="000000" w:sz="8" w:space="0"/>
            </w:tcBorders>
            <w:shd w:val="clear" w:color="auto" w:fill="FFFFFF"/>
            <w:vAlign w:val="center"/>
          </w:tcPr>
          <w:p>
            <w:pPr>
              <w:rPr>
                <w:rFonts w:hint="eastAsia" w:ascii="宋体" w:hAnsi="宋体"/>
                <w:snapToGrid w:val="0"/>
                <w:kern w:val="0"/>
                <w:sz w:val="18"/>
                <w:szCs w:val="18"/>
              </w:rPr>
            </w:pPr>
            <w:r>
              <w:rPr>
                <w:rFonts w:hint="eastAsia" w:ascii="宋体" w:hAnsi="宋体"/>
                <w:snapToGrid w:val="0"/>
                <w:kern w:val="0"/>
                <w:sz w:val="18"/>
                <w:szCs w:val="18"/>
              </w:rPr>
              <w:t>4柱拦片</w:t>
            </w:r>
          </w:p>
        </w:tc>
        <w:tc>
          <w:tcPr>
            <w:tcW w:w="754" w:type="pct"/>
            <w:tcBorders>
              <w:top w:val="nil"/>
              <w:left w:val="nil"/>
              <w:bottom w:val="single" w:color="auto" w:sz="8" w:space="0"/>
              <w:right w:val="single" w:color="000000" w:sz="8" w:space="0"/>
            </w:tcBorders>
            <w:shd w:val="clear" w:color="auto"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1.8m*0.6</w:t>
            </w:r>
          </w:p>
        </w:tc>
        <w:tc>
          <w:tcPr>
            <w:tcW w:w="341" w:type="pct"/>
            <w:tcBorders>
              <w:top w:val="nil"/>
              <w:left w:val="nil"/>
              <w:bottom w:val="single" w:color="auto" w:sz="8" w:space="0"/>
              <w:right w:val="single" w:color="000000" w:sz="8" w:space="0"/>
            </w:tcBorders>
            <w:shd w:val="clear" w:color="auto"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片</w:t>
            </w:r>
          </w:p>
        </w:tc>
        <w:tc>
          <w:tcPr>
            <w:tcW w:w="437" w:type="pct"/>
            <w:tcBorders>
              <w:top w:val="nil"/>
              <w:left w:val="nil"/>
              <w:bottom w:val="single" w:color="auto" w:sz="8" w:space="0"/>
              <w:right w:val="single" w:color="000000" w:sz="8"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1104 </w:t>
            </w:r>
          </w:p>
        </w:tc>
        <w:tc>
          <w:tcPr>
            <w:tcW w:w="788" w:type="pct"/>
            <w:tcBorders>
              <w:top w:val="nil"/>
              <w:left w:val="nil"/>
              <w:bottom w:val="single" w:color="auto" w:sz="8" w:space="0"/>
              <w:right w:val="single" w:color="000000" w:sz="8" w:space="0"/>
            </w:tcBorders>
            <w:shd w:val="clear" w:color="auto"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2021年8月</w:t>
            </w:r>
          </w:p>
        </w:tc>
        <w:tc>
          <w:tcPr>
            <w:tcW w:w="490" w:type="pct"/>
            <w:tcBorders>
              <w:top w:val="nil"/>
              <w:left w:val="nil"/>
              <w:bottom w:val="single" w:color="auto" w:sz="8" w:space="0"/>
              <w:right w:val="single" w:color="000000" w:sz="8" w:space="0"/>
            </w:tcBorders>
            <w:shd w:val="clear" w:color="auto" w:fill="FFFFFF"/>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伊春市</w:t>
            </w:r>
          </w:p>
        </w:tc>
        <w:tc>
          <w:tcPr>
            <w:tcW w:w="654" w:type="pct"/>
            <w:tcBorders>
              <w:top w:val="nil"/>
              <w:left w:val="nil"/>
              <w:bottom w:val="single" w:color="auto" w:sz="8" w:space="0"/>
              <w:right w:val="single" w:color="auto" w:sz="4" w:space="0"/>
            </w:tcBorders>
            <w:shd w:val="clear" w:color="auto" w:fill="FFFFFF"/>
            <w:vAlign w:val="center"/>
          </w:tcPr>
          <w:p>
            <w:pPr>
              <w:jc w:val="center"/>
              <w:rPr>
                <w:rFonts w:ascii="宋体" w:hAnsi="宋体"/>
                <w:snapToGrid w:val="0"/>
                <w:kern w:val="0"/>
                <w:sz w:val="18"/>
                <w:szCs w:val="18"/>
              </w:rPr>
            </w:pPr>
            <w:r>
              <w:rPr>
                <w:rFonts w:hint="eastAsia" w:ascii="宋体" w:hAnsi="宋体"/>
                <w:snapToGrid w:val="0"/>
                <w:kern w:val="0"/>
                <w:sz w:val="18"/>
                <w:szCs w:val="18"/>
              </w:rPr>
              <w:t>109</w:t>
            </w:r>
          </w:p>
        </w:tc>
        <w:tc>
          <w:tcPr>
            <w:tcW w:w="762" w:type="pct"/>
            <w:tcBorders>
              <w:top w:val="nil"/>
              <w:left w:val="single" w:color="auto" w:sz="4" w:space="0"/>
              <w:bottom w:val="single" w:color="auto" w:sz="8" w:space="0"/>
              <w:right w:val="single" w:color="000000" w:sz="8" w:space="0"/>
            </w:tcBorders>
            <w:shd w:val="clear" w:color="auto" w:fill="FFFFFF"/>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120336</w:t>
            </w:r>
          </w:p>
        </w:tc>
      </w:tr>
      <w:tr>
        <w:tblPrEx>
          <w:tblCellMar>
            <w:top w:w="0" w:type="dxa"/>
            <w:left w:w="108" w:type="dxa"/>
            <w:bottom w:w="0" w:type="dxa"/>
            <w:right w:w="108" w:type="dxa"/>
          </w:tblCellMar>
        </w:tblPrEx>
        <w:trPr>
          <w:trHeight w:val="690" w:hRule="atLeast"/>
          <w:jc w:val="center"/>
        </w:trPr>
        <w:tc>
          <w:tcPr>
            <w:tcW w:w="772" w:type="pct"/>
            <w:gridSpan w:val="2"/>
            <w:tcBorders>
              <w:top w:val="single" w:color="auto" w:sz="4" w:space="0"/>
              <w:left w:val="single" w:color="000000" w:sz="8" w:space="0"/>
              <w:bottom w:val="single" w:color="auto" w:sz="8" w:space="0"/>
              <w:right w:val="single" w:color="000000" w:sz="8" w:space="0"/>
            </w:tcBorders>
            <w:shd w:val="clear" w:color="auto" w:fill="FFFFFF"/>
            <w:vAlign w:val="center"/>
          </w:tcPr>
          <w:p>
            <w:pPr>
              <w:widowControl/>
              <w:jc w:val="center"/>
              <w:textAlignment w:val="center"/>
              <w:rPr>
                <w:rFonts w:ascii="宋体" w:hAnsi="宋体" w:cs="仿宋"/>
                <w:b/>
                <w:bCs/>
                <w:color w:val="000000"/>
                <w:sz w:val="18"/>
                <w:szCs w:val="18"/>
              </w:rPr>
            </w:pPr>
            <w:r>
              <w:rPr>
                <w:rFonts w:hint="eastAsia" w:ascii="宋体" w:hAnsi="宋体" w:cs="仿宋"/>
                <w:color w:val="000000"/>
                <w:kern w:val="0"/>
              </w:rPr>
              <w:t>合计：</w:t>
            </w:r>
          </w:p>
        </w:tc>
        <w:tc>
          <w:tcPr>
            <w:tcW w:w="2811" w:type="pct"/>
            <w:gridSpan w:val="5"/>
            <w:tcBorders>
              <w:top w:val="single" w:color="auto" w:sz="4" w:space="0"/>
              <w:left w:val="single" w:color="000000" w:sz="8" w:space="0"/>
              <w:bottom w:val="single" w:color="auto" w:sz="8" w:space="0"/>
              <w:right w:val="single" w:color="auto" w:sz="8" w:space="0"/>
            </w:tcBorders>
            <w:shd w:val="clear" w:color="auto" w:fill="FFFFFF"/>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大写金额：伍拾叁万肆仟贰佰伍拾壹元整</w:t>
            </w:r>
          </w:p>
        </w:tc>
        <w:tc>
          <w:tcPr>
            <w:tcW w:w="654" w:type="pct"/>
            <w:tcBorders>
              <w:top w:val="single" w:color="auto" w:sz="8" w:space="0"/>
              <w:left w:val="single" w:color="auto" w:sz="8" w:space="0"/>
              <w:bottom w:val="single" w:color="auto" w:sz="8" w:space="0"/>
              <w:right w:val="single" w:color="auto" w:sz="4" w:space="0"/>
            </w:tcBorders>
            <w:shd w:val="clear" w:color="auto" w:fill="FFFFFF"/>
            <w:vAlign w:val="center"/>
          </w:tcPr>
          <w:p>
            <w:pPr>
              <w:widowControl/>
              <w:jc w:val="center"/>
              <w:textAlignment w:val="center"/>
              <w:rPr>
                <w:rFonts w:ascii="宋体" w:hAnsi="宋体" w:cs="宋体"/>
                <w:color w:val="000000"/>
                <w:kern w:val="0"/>
                <w:sz w:val="18"/>
                <w:szCs w:val="18"/>
              </w:rPr>
            </w:pPr>
          </w:p>
        </w:tc>
        <w:tc>
          <w:tcPr>
            <w:tcW w:w="762" w:type="pct"/>
            <w:tcBorders>
              <w:top w:val="single" w:color="auto" w:sz="8" w:space="0"/>
              <w:left w:val="single" w:color="auto" w:sz="4" w:space="0"/>
              <w:bottom w:val="single" w:color="auto" w:sz="8" w:space="0"/>
              <w:right w:val="single" w:color="auto" w:sz="8"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534251</w:t>
            </w:r>
          </w:p>
        </w:tc>
      </w:tr>
    </w:tbl>
    <w:p>
      <w:pPr>
        <w:snapToGrid w:val="0"/>
        <w:spacing w:line="366" w:lineRule="exact"/>
        <w:ind w:firstLine="566" w:firstLineChars="200"/>
        <w:rPr>
          <w:rFonts w:ascii="黑体" w:hAnsi="黑体" w:eastAsia="黑体"/>
          <w:sz w:val="28"/>
          <w:szCs w:val="28"/>
        </w:rPr>
      </w:pPr>
      <w:r>
        <w:rPr>
          <w:rFonts w:hint="eastAsia" w:ascii="黑体" w:hAnsi="黑体" w:eastAsia="黑体"/>
          <w:sz w:val="28"/>
          <w:szCs w:val="28"/>
        </w:rPr>
        <w:t>第二条 合同价款</w:t>
      </w:r>
    </w:p>
    <w:p>
      <w:pPr>
        <w:snapToGrid w:val="0"/>
        <w:spacing w:line="366" w:lineRule="exact"/>
        <w:ind w:firstLine="566" w:firstLineChars="200"/>
        <w:jc w:val="left"/>
        <w:rPr>
          <w:rFonts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 xml:space="preserve">一）总价（含增值税）人民币大写 </w:t>
      </w:r>
      <w:r>
        <w:rPr>
          <w:rFonts w:hint="eastAsia" w:ascii="仿宋_GB2312" w:eastAsia="仿宋_GB2312"/>
          <w:sz w:val="28"/>
          <w:szCs w:val="28"/>
          <w:u w:val="single"/>
        </w:rPr>
        <w:t>伍拾叁万肆仟贰佰伍拾壹元整</w:t>
      </w:r>
      <w:r>
        <w:rPr>
          <w:rFonts w:hint="eastAsia" w:ascii="仿宋_GB2312" w:eastAsia="仿宋_GB2312"/>
          <w:sz w:val="28"/>
          <w:szCs w:val="28"/>
        </w:rPr>
        <w:t>（小写：</w:t>
      </w:r>
      <w:r>
        <w:rPr>
          <w:rFonts w:hint="eastAsia" w:ascii="仿宋_GB2312" w:eastAsia="仿宋_GB2312"/>
          <w:sz w:val="28"/>
          <w:szCs w:val="28"/>
          <w:u w:val="single"/>
        </w:rPr>
        <w:t xml:space="preserve">534251.00 </w:t>
      </w:r>
      <w:r>
        <w:rPr>
          <w:rFonts w:hint="eastAsia" w:ascii="仿宋_GB2312" w:eastAsia="仿宋_GB2312"/>
          <w:sz w:val="28"/>
          <w:szCs w:val="28"/>
        </w:rPr>
        <w:t>元）其中货款不含税价人民币</w:t>
      </w:r>
      <w:r>
        <w:rPr>
          <w:rFonts w:hint="eastAsia" w:ascii="宋体" w:hAnsi="宋体"/>
          <w:bCs/>
          <w:sz w:val="28"/>
          <w:szCs w:val="28"/>
          <w:u w:val="single"/>
        </w:rPr>
        <w:t>472788.</w:t>
      </w:r>
      <w:r>
        <w:rPr>
          <w:rFonts w:hint="eastAsia" w:ascii="宋体" w:hAnsi="宋体"/>
          <w:bCs/>
          <w:sz w:val="28"/>
          <w:szCs w:val="28"/>
          <w:u w:val="single"/>
          <w:lang w:val="en-US" w:eastAsia="zh-CN"/>
        </w:rPr>
        <w:t>50</w:t>
      </w:r>
      <w:r>
        <w:rPr>
          <w:rFonts w:hint="eastAsia" w:ascii="仿宋_GB2312" w:eastAsia="仿宋_GB2312"/>
          <w:sz w:val="28"/>
          <w:szCs w:val="28"/>
        </w:rPr>
        <w:t xml:space="preserve">元，税率13 %，增值税 </w:t>
      </w:r>
      <w:r>
        <w:rPr>
          <w:rFonts w:hint="eastAsia" w:ascii="仿宋_GB2312" w:eastAsia="仿宋_GB2312"/>
          <w:sz w:val="28"/>
          <w:szCs w:val="28"/>
          <w:u w:val="single"/>
        </w:rPr>
        <w:t>61462.50</w:t>
      </w:r>
      <w:r>
        <w:rPr>
          <w:rFonts w:hint="eastAsia" w:ascii="仿宋_GB2312" w:eastAsia="仿宋_GB2312"/>
          <w:sz w:val="28"/>
          <w:szCs w:val="28"/>
        </w:rPr>
        <w:t xml:space="preserve"> 元。                                       </w:t>
      </w:r>
    </w:p>
    <w:p>
      <w:pPr>
        <w:snapToGrid w:val="0"/>
        <w:spacing w:line="366" w:lineRule="exact"/>
        <w:ind w:firstLine="566" w:firstLineChars="200"/>
        <w:rPr>
          <w:rFonts w:ascii="仿宋_GB2312" w:hAnsi="宋体" w:eastAsia="仿宋_GB2312"/>
          <w:sz w:val="28"/>
          <w:szCs w:val="28"/>
        </w:rPr>
      </w:pPr>
      <w:r>
        <w:rPr>
          <w:rFonts w:hint="eastAsia" w:ascii="仿宋_GB2312" w:eastAsia="仿宋_GB2312"/>
          <w:sz w:val="28"/>
          <w:szCs w:val="28"/>
        </w:rPr>
        <w:t>（二）合同总价包括货款、运费等</w:t>
      </w:r>
      <w:r>
        <w:rPr>
          <w:rFonts w:hint="eastAsia" w:ascii="仿宋_GB2312" w:hAnsi="宋体" w:eastAsia="仿宋_GB2312"/>
          <w:sz w:val="28"/>
          <w:szCs w:val="28"/>
        </w:rPr>
        <w:t>费用。</w:t>
      </w:r>
    </w:p>
    <w:p>
      <w:pPr>
        <w:pStyle w:val="5"/>
        <w:spacing w:line="366" w:lineRule="exact"/>
        <w:ind w:firstLine="568"/>
        <w:rPr>
          <w:rFonts w:ascii="黑体" w:hAnsi="黑体" w:eastAsia="黑体"/>
          <w:sz w:val="28"/>
          <w:szCs w:val="28"/>
        </w:rPr>
      </w:pPr>
      <w:r>
        <w:rPr>
          <w:rFonts w:hint="eastAsia" w:ascii="黑体" w:hAnsi="黑体" w:eastAsia="黑体"/>
          <w:sz w:val="28"/>
          <w:szCs w:val="28"/>
        </w:rPr>
        <w:t>第三条  质量要求</w:t>
      </w:r>
    </w:p>
    <w:p>
      <w:pPr>
        <w:pStyle w:val="5"/>
        <w:spacing w:line="366" w:lineRule="exact"/>
        <w:ind w:firstLine="568"/>
        <w:rPr>
          <w:rFonts w:ascii="仿宋_GB2312" w:eastAsia="仿宋_GB2312"/>
          <w:sz w:val="28"/>
          <w:szCs w:val="28"/>
        </w:rPr>
      </w:pPr>
      <w:r>
        <w:rPr>
          <w:rFonts w:hint="eastAsia" w:ascii="仿宋_GB2312" w:eastAsia="仿宋_GB2312"/>
          <w:sz w:val="28"/>
          <w:szCs w:val="28"/>
        </w:rPr>
        <w:t>（一）商品的质量标准（包括技术要求），按下列第</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w:t>
      </w:r>
      <w:r>
        <w:rPr>
          <w:rFonts w:hint="eastAsia" w:ascii="仿宋_GB2312" w:eastAsia="仿宋_GB2312"/>
          <w:sz w:val="28"/>
          <w:szCs w:val="28"/>
          <w:u w:val="single"/>
        </w:rPr>
        <w:t xml:space="preserve"> </w:t>
      </w:r>
      <w:r>
        <w:rPr>
          <w:rFonts w:hint="eastAsia" w:ascii="仿宋_GB2312" w:eastAsia="仿宋_GB2312"/>
          <w:sz w:val="28"/>
          <w:szCs w:val="28"/>
        </w:rPr>
        <w:t>项执行：</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1.按国家标准执行</w:t>
      </w:r>
    </w:p>
    <w:p>
      <w:pPr>
        <w:spacing w:line="366" w:lineRule="exact"/>
        <w:ind w:firstLine="566" w:firstLineChars="200"/>
        <w:rPr>
          <w:rFonts w:ascii="宋体" w:hAnsi="宋体" w:cs="宋体"/>
          <w:sz w:val="28"/>
          <w:szCs w:val="28"/>
        </w:rPr>
      </w:pPr>
      <w:r>
        <w:rPr>
          <w:rFonts w:hint="eastAsia" w:ascii="仿宋_GB2312" w:eastAsia="仿宋_GB2312"/>
          <w:sz w:val="28"/>
          <w:szCs w:val="28"/>
        </w:rPr>
        <w:t>2.按部颁标准或铁路总公司颁布标准执行：</w:t>
      </w:r>
      <w:r>
        <w:rPr>
          <w:rFonts w:hint="eastAsia" w:ascii="仿宋_GB2312" w:eastAsia="仿宋_GB2312"/>
          <w:sz w:val="28"/>
          <w:szCs w:val="28"/>
          <w:lang w:val="en-US" w:eastAsia="zh-CN"/>
        </w:rPr>
        <w:t>/</w:t>
      </w:r>
      <w:r>
        <w:rPr>
          <w:rFonts w:hint="eastAsia" w:ascii="仿宋_GB2312" w:eastAsia="仿宋_GB2312"/>
          <w:sz w:val="28"/>
          <w:szCs w:val="28"/>
        </w:rPr>
        <w:t>。</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3.按企业标准执行：/</w:t>
      </w:r>
    </w:p>
    <w:p>
      <w:pPr>
        <w:pStyle w:val="5"/>
        <w:spacing w:line="366" w:lineRule="exact"/>
        <w:ind w:firstLine="568"/>
        <w:rPr>
          <w:rFonts w:ascii="仿宋_GB2312" w:eastAsia="仿宋_GB2312"/>
          <w:sz w:val="28"/>
          <w:szCs w:val="28"/>
        </w:rPr>
      </w:pPr>
      <w:r>
        <w:rPr>
          <w:rFonts w:hint="eastAsia" w:ascii="仿宋_GB2312" w:eastAsia="仿宋_GB2312"/>
          <w:sz w:val="28"/>
          <w:szCs w:val="28"/>
        </w:rPr>
        <w:t>4.按</w:t>
      </w:r>
      <w:r>
        <w:rPr>
          <w:rFonts w:hint="eastAsia" w:ascii="仿宋_GB2312" w:eastAsia="仿宋_GB2312"/>
          <w:sz w:val="28"/>
          <w:szCs w:val="28"/>
          <w:u w:val="single"/>
        </w:rPr>
        <w:t xml:space="preserve"> / </w:t>
      </w:r>
      <w:r>
        <w:rPr>
          <w:rFonts w:hint="eastAsia" w:ascii="仿宋_GB2312" w:eastAsia="仿宋_GB2312"/>
          <w:sz w:val="28"/>
          <w:szCs w:val="28"/>
        </w:rPr>
        <w:t>（注：甲乙双方在合同中商定的技术条件、样品或补充的技术要求执行）。</w:t>
      </w:r>
    </w:p>
    <w:p>
      <w:pPr>
        <w:pStyle w:val="5"/>
        <w:spacing w:line="366" w:lineRule="exact"/>
        <w:ind w:firstLine="568"/>
        <w:rPr>
          <w:rFonts w:ascii="仿宋_GB2312" w:eastAsia="仿宋_GB2312"/>
          <w:sz w:val="28"/>
          <w:szCs w:val="28"/>
        </w:rPr>
      </w:pPr>
      <w:r>
        <w:rPr>
          <w:rFonts w:hint="eastAsia" w:ascii="仿宋_GB2312" w:eastAsia="仿宋_GB2312"/>
          <w:sz w:val="28"/>
          <w:szCs w:val="28"/>
        </w:rPr>
        <w:t>（二）乙方需对商品进行全面的质量检查，承诺销售给甲方的商品全部符合约定的质量要求，并提供相应的检验证明和商品合格证。</w:t>
      </w:r>
    </w:p>
    <w:p>
      <w:pPr>
        <w:spacing w:line="366" w:lineRule="exact"/>
        <w:ind w:firstLine="566" w:firstLineChars="200"/>
        <w:rPr>
          <w:rFonts w:ascii="黑体" w:hAnsi="黑体" w:eastAsia="黑体"/>
          <w:sz w:val="28"/>
          <w:szCs w:val="28"/>
        </w:rPr>
      </w:pPr>
      <w:r>
        <w:rPr>
          <w:rFonts w:hint="eastAsia" w:ascii="黑体" w:hAnsi="黑体" w:eastAsia="黑体"/>
          <w:sz w:val="28"/>
          <w:szCs w:val="28"/>
        </w:rPr>
        <w:t>第四条  商品的包装标准和包装物的供应与回收</w:t>
      </w:r>
    </w:p>
    <w:p>
      <w:pPr>
        <w:spacing w:line="366" w:lineRule="exact"/>
        <w:ind w:firstLine="566" w:firstLineChars="200"/>
        <w:jc w:val="left"/>
        <w:rPr>
          <w:rFonts w:ascii="仿宋_GB2312" w:eastAsia="仿宋_GB2312"/>
          <w:sz w:val="28"/>
          <w:szCs w:val="28"/>
        </w:rPr>
      </w:pPr>
      <w:r>
        <w:rPr>
          <w:rFonts w:hint="eastAsia" w:ascii="仿宋_GB2312" w:eastAsia="仿宋_GB2312"/>
          <w:sz w:val="28"/>
          <w:szCs w:val="28"/>
        </w:rPr>
        <w:t>包装标准、包装物的供应与回收：执行国家或行业部门包装技术规定，保证产品在运输、储存过程中质量不受损害，能持续满足环保与职业健康的要求。</w:t>
      </w:r>
    </w:p>
    <w:p>
      <w:pPr>
        <w:spacing w:line="366" w:lineRule="exact"/>
        <w:ind w:firstLine="566" w:firstLineChars="200"/>
        <w:rPr>
          <w:rFonts w:ascii="黑体" w:hAnsi="黑体" w:eastAsia="黑体"/>
          <w:sz w:val="28"/>
          <w:szCs w:val="28"/>
        </w:rPr>
      </w:pPr>
      <w:r>
        <w:rPr>
          <w:rFonts w:hint="eastAsia" w:ascii="黑体" w:hAnsi="黑体" w:eastAsia="黑体"/>
          <w:sz w:val="28"/>
          <w:szCs w:val="28"/>
        </w:rPr>
        <w:t>第五条  商品交货数量的正负尾差、合理磅差和在途自然减（增）量规定等合理损耗标准及计算方法</w:t>
      </w:r>
      <w:r>
        <w:rPr>
          <w:rFonts w:hint="eastAsia" w:ascii="仿宋_GB2312" w:eastAsia="仿宋_GB2312"/>
          <w:sz w:val="28"/>
          <w:szCs w:val="28"/>
        </w:rPr>
        <w:t>：</w:t>
      </w:r>
      <w:r>
        <w:rPr>
          <w:rFonts w:hint="eastAsia" w:ascii="仿宋_GB2312" w:eastAsia="仿宋_GB2312"/>
          <w:sz w:val="28"/>
          <w:szCs w:val="28"/>
          <w:u w:val="single"/>
        </w:rPr>
        <w:t xml:space="preserve"> 以质量证明书数量为准</w:t>
      </w:r>
      <w:r>
        <w:rPr>
          <w:rFonts w:hint="eastAsia" w:ascii="仿宋_GB2312" w:eastAsia="仿宋_GB2312"/>
          <w:sz w:val="28"/>
          <w:szCs w:val="28"/>
        </w:rPr>
        <w:t xml:space="preserve">。                        </w:t>
      </w:r>
    </w:p>
    <w:p>
      <w:pPr>
        <w:spacing w:line="366" w:lineRule="exact"/>
        <w:ind w:firstLine="566" w:firstLineChars="200"/>
        <w:rPr>
          <w:rFonts w:ascii="黑体" w:hAnsi="黑体" w:eastAsia="黑体"/>
          <w:sz w:val="28"/>
          <w:szCs w:val="28"/>
        </w:rPr>
      </w:pPr>
      <w:r>
        <w:rPr>
          <w:rFonts w:hint="eastAsia" w:ascii="黑体" w:hAnsi="黑体" w:eastAsia="黑体"/>
          <w:sz w:val="28"/>
          <w:szCs w:val="28"/>
        </w:rPr>
        <w:t>第六条  商品的交货方式、交货地点和交货时间：</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（一）交货方式：乙方负责将商品送至甲方指定的地点：</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汤林线友好至红山间</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ascii="仿宋_GB2312" w:eastAsia="仿宋_GB2312"/>
          <w:sz w:val="28"/>
          <w:szCs w:val="28"/>
        </w:rPr>
        <w:t>乙方应保证通过该等运输时，</w:t>
      </w:r>
      <w:r>
        <w:rPr>
          <w:rFonts w:hint="eastAsia" w:ascii="仿宋_GB2312" w:eastAsia="仿宋_GB2312"/>
          <w:sz w:val="28"/>
          <w:szCs w:val="28"/>
        </w:rPr>
        <w:t>商品</w:t>
      </w:r>
      <w:r>
        <w:rPr>
          <w:rFonts w:ascii="仿宋_GB2312" w:eastAsia="仿宋_GB2312"/>
          <w:sz w:val="28"/>
          <w:szCs w:val="28"/>
        </w:rPr>
        <w:t>的质量、性能、技术指标等不受影响</w:t>
      </w:r>
      <w:r>
        <w:rPr>
          <w:rFonts w:hint="eastAsia" w:ascii="仿宋_GB2312" w:eastAsia="仿宋_GB2312"/>
          <w:sz w:val="28"/>
          <w:szCs w:val="28"/>
        </w:rPr>
        <w:t>。装卸费用、安装调试、保险等费用由</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乙</w:t>
      </w:r>
      <w:bookmarkStart w:id="2" w:name="_GoBack"/>
      <w:bookmarkEnd w:id="2"/>
      <w:r>
        <w:rPr>
          <w:rFonts w:hint="eastAsia" w:ascii="仿宋_GB2312" w:eastAsia="仿宋_GB2312"/>
          <w:sz w:val="28"/>
          <w:szCs w:val="28"/>
          <w:u w:val="single"/>
        </w:rPr>
        <w:t xml:space="preserve"> </w:t>
      </w:r>
      <w:r>
        <w:rPr>
          <w:rFonts w:hint="eastAsia" w:ascii="仿宋_GB2312" w:eastAsia="仿宋_GB2312"/>
          <w:sz w:val="28"/>
          <w:szCs w:val="28"/>
        </w:rPr>
        <w:t>方承担.</w:t>
      </w:r>
    </w:p>
    <w:p>
      <w:pPr>
        <w:tabs>
          <w:tab w:val="left" w:pos="0"/>
          <w:tab w:val="left" w:pos="433"/>
          <w:tab w:val="left" w:pos="1299"/>
        </w:tabs>
        <w:spacing w:line="366" w:lineRule="exact"/>
        <w:ind w:firstLine="566" w:firstLineChars="200"/>
        <w:rPr>
          <w:rFonts w:hint="eastAsia" w:ascii="仿宋_GB2312" w:eastAsia="仿宋_GB2312"/>
          <w:sz w:val="28"/>
          <w:szCs w:val="28"/>
          <w:u w:val="single"/>
          <w:lang w:eastAsia="zh-CN"/>
        </w:rPr>
      </w:pPr>
      <w:r>
        <w:rPr>
          <w:rFonts w:hint="eastAsia" w:ascii="仿宋_GB2312" w:eastAsia="仿宋_GB2312"/>
          <w:sz w:val="28"/>
          <w:szCs w:val="28"/>
        </w:rPr>
        <w:t>（二）交货时间：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甲方指定时间</w:t>
      </w:r>
    </w:p>
    <w:p>
      <w:pPr>
        <w:tabs>
          <w:tab w:val="left" w:pos="0"/>
          <w:tab w:val="left" w:pos="433"/>
          <w:tab w:val="left" w:pos="1299"/>
        </w:tabs>
        <w:spacing w:line="366" w:lineRule="exact"/>
        <w:ind w:firstLine="566" w:firstLineChars="200"/>
        <w:rPr>
          <w:rFonts w:ascii="仿宋_GB2312" w:eastAsia="仿宋_GB2312"/>
          <w:sz w:val="28"/>
          <w:szCs w:val="28"/>
        </w:rPr>
      </w:pPr>
      <w:r>
        <w:rPr>
          <w:rFonts w:hint="eastAsia" w:ascii="仿宋_GB2312" w:eastAsia="仿宋_GB2312"/>
          <w:sz w:val="28"/>
          <w:szCs w:val="28"/>
        </w:rPr>
        <w:t>（三）甲方如要求变更到货地点或接货人，应在合同规定的交货期限〈月份或季度〉前</w:t>
      </w:r>
      <w:r>
        <w:rPr>
          <w:rFonts w:hint="eastAsia" w:ascii="仿宋_GB2312" w:eastAsia="仿宋_GB2312"/>
          <w:sz w:val="28"/>
          <w:szCs w:val="28"/>
          <w:u w:val="single"/>
        </w:rPr>
        <w:t xml:space="preserve"> 五 </w:t>
      </w:r>
      <w:r>
        <w:rPr>
          <w:rFonts w:hint="eastAsia" w:ascii="仿宋_GB2312" w:eastAsia="仿宋_GB2312"/>
          <w:sz w:val="28"/>
          <w:szCs w:val="28"/>
        </w:rPr>
        <w:t>天通知乙方。</w:t>
      </w:r>
      <w:r>
        <w:rPr>
          <w:rFonts w:ascii="仿宋_GB2312" w:eastAsia="仿宋_GB2312"/>
          <w:sz w:val="28"/>
          <w:szCs w:val="28"/>
        </w:rPr>
        <w:t>乙方交付前应至少提前</w:t>
      </w:r>
      <w:r>
        <w:rPr>
          <w:rFonts w:hint="eastAsia" w:ascii="仿宋_GB2312" w:eastAsia="仿宋_GB2312"/>
          <w:sz w:val="28"/>
          <w:szCs w:val="28"/>
          <w:u w:val="single"/>
        </w:rPr>
        <w:t xml:space="preserve"> 五 </w:t>
      </w:r>
      <w:r>
        <w:rPr>
          <w:rFonts w:hint="eastAsia" w:ascii="仿宋_GB2312" w:eastAsia="仿宋_GB2312"/>
          <w:sz w:val="28"/>
          <w:szCs w:val="28"/>
        </w:rPr>
        <w:t>日</w:t>
      </w:r>
      <w:r>
        <w:rPr>
          <w:rFonts w:ascii="仿宋_GB2312" w:eastAsia="仿宋_GB2312"/>
          <w:sz w:val="28"/>
          <w:szCs w:val="28"/>
        </w:rPr>
        <w:t>通知甲方</w:t>
      </w:r>
      <w:r>
        <w:rPr>
          <w:rFonts w:hint="eastAsia" w:ascii="仿宋_GB2312" w:eastAsia="仿宋_GB2312"/>
          <w:sz w:val="28"/>
          <w:szCs w:val="28"/>
        </w:rPr>
        <w:t>。乙方</w:t>
      </w:r>
      <w:r>
        <w:rPr>
          <w:rFonts w:ascii="仿宋_GB2312" w:eastAsia="仿宋_GB2312"/>
          <w:sz w:val="28"/>
          <w:szCs w:val="28"/>
        </w:rPr>
        <w:t>如未经甲方同意提前交货，应承担仓储费等所有费用，且甲方保留拒绝受领及延迟付款的权利。</w:t>
      </w:r>
    </w:p>
    <w:p>
      <w:pPr>
        <w:tabs>
          <w:tab w:val="left" w:pos="0"/>
          <w:tab w:val="left" w:pos="433"/>
          <w:tab w:val="left" w:pos="1299"/>
        </w:tabs>
        <w:spacing w:line="366" w:lineRule="exact"/>
        <w:ind w:firstLine="566"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四）乙方应在交货时提供下列文件：</w:t>
      </w:r>
    </w:p>
    <w:p>
      <w:pPr>
        <w:tabs>
          <w:tab w:val="left" w:pos="0"/>
          <w:tab w:val="left" w:pos="433"/>
          <w:tab w:val="left" w:pos="1299"/>
        </w:tabs>
        <w:spacing w:line="366" w:lineRule="exact"/>
        <w:ind w:firstLine="566"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相关</w:t>
      </w:r>
      <w:r>
        <w:rPr>
          <w:rFonts w:ascii="仿宋_GB2312" w:eastAsia="仿宋_GB2312"/>
          <w:sz w:val="28"/>
          <w:szCs w:val="28"/>
        </w:rPr>
        <w:t>出厂检验、试验报告、</w:t>
      </w:r>
      <w:r>
        <w:rPr>
          <w:rFonts w:hint="eastAsia" w:ascii="仿宋_GB2312" w:eastAsia="仿宋_GB2312"/>
          <w:sz w:val="28"/>
          <w:szCs w:val="28"/>
        </w:rPr>
        <w:t>质量证明书</w:t>
      </w:r>
      <w:r>
        <w:rPr>
          <w:rFonts w:ascii="仿宋_GB2312" w:eastAsia="仿宋_GB2312"/>
          <w:sz w:val="28"/>
          <w:szCs w:val="28"/>
        </w:rPr>
        <w:t>等质量文件；</w:t>
      </w:r>
    </w:p>
    <w:p>
      <w:pPr>
        <w:tabs>
          <w:tab w:val="left" w:pos="0"/>
          <w:tab w:val="left" w:pos="433"/>
          <w:tab w:val="left" w:pos="1299"/>
        </w:tabs>
        <w:spacing w:line="366" w:lineRule="exact"/>
        <w:ind w:firstLine="566"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使用说明</w:t>
      </w:r>
      <w:r>
        <w:rPr>
          <w:rFonts w:ascii="仿宋_GB2312" w:eastAsia="仿宋_GB2312"/>
          <w:sz w:val="28"/>
          <w:szCs w:val="28"/>
        </w:rPr>
        <w:t>、安装手册、仓储手册等使用（安装）和保管方面的书面资料；</w:t>
      </w:r>
    </w:p>
    <w:p>
      <w:pPr>
        <w:tabs>
          <w:tab w:val="left" w:pos="0"/>
          <w:tab w:val="left" w:pos="433"/>
          <w:tab w:val="left" w:pos="1299"/>
        </w:tabs>
        <w:spacing w:line="366" w:lineRule="exact"/>
        <w:ind w:firstLine="566" w:firstLineChars="200"/>
        <w:rPr>
          <w:rFonts w:ascii="仿宋_GB2312" w:eastAsia="仿宋_GB2312"/>
          <w:sz w:val="28"/>
          <w:szCs w:val="28"/>
          <w:u w:val="single"/>
        </w:rPr>
      </w:pPr>
      <w:r>
        <w:rPr>
          <w:rFonts w:ascii="仿宋_GB2312" w:eastAsia="仿宋_GB2312"/>
          <w:sz w:val="28"/>
          <w:szCs w:val="28"/>
        </w:rPr>
        <w:t>3.</w:t>
      </w:r>
      <w:r>
        <w:rPr>
          <w:rFonts w:hint="eastAsia" w:ascii="仿宋_GB2312" w:eastAsia="仿宋_GB2312"/>
          <w:sz w:val="28"/>
          <w:szCs w:val="28"/>
        </w:rPr>
        <w:t>其他</w:t>
      </w:r>
      <w:r>
        <w:rPr>
          <w:rFonts w:hint="eastAsia" w:ascii="仿宋_GB2312" w:eastAsia="仿宋_GB2312"/>
          <w:sz w:val="28"/>
          <w:szCs w:val="28"/>
          <w:u w:val="single"/>
        </w:rPr>
        <w:t xml:space="preserve">    /   。</w:t>
      </w:r>
    </w:p>
    <w:p>
      <w:pPr>
        <w:tabs>
          <w:tab w:val="left" w:pos="0"/>
          <w:tab w:val="left" w:pos="433"/>
          <w:tab w:val="left" w:pos="1299"/>
        </w:tabs>
        <w:spacing w:line="366" w:lineRule="exact"/>
        <w:ind w:firstLine="566"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五）如商品有通关必要时，乙方应负责或协助甲方完成清关、</w:t>
      </w:r>
      <w:r>
        <w:rPr>
          <w:rFonts w:hint="eastAsia" w:ascii="仿宋_GB2312" w:eastAsia="仿宋_GB2312"/>
          <w:sz w:val="28"/>
          <w:szCs w:val="28"/>
        </w:rPr>
        <w:t>报关</w:t>
      </w:r>
      <w:r>
        <w:rPr>
          <w:rFonts w:ascii="仿宋_GB2312" w:eastAsia="仿宋_GB2312"/>
          <w:sz w:val="28"/>
          <w:szCs w:val="28"/>
        </w:rPr>
        <w:t>手续，因乙方过错造成通关受阻</w:t>
      </w:r>
      <w:r>
        <w:rPr>
          <w:rFonts w:hint="eastAsia" w:ascii="仿宋_GB2312" w:eastAsia="仿宋_GB2312"/>
          <w:sz w:val="28"/>
          <w:szCs w:val="28"/>
        </w:rPr>
        <w:t>而</w:t>
      </w:r>
      <w:r>
        <w:rPr>
          <w:rFonts w:ascii="仿宋_GB2312" w:eastAsia="仿宋_GB2312"/>
          <w:sz w:val="28"/>
          <w:szCs w:val="28"/>
        </w:rPr>
        <w:t>引起甲方损失的由乙方负责赔偿。</w:t>
      </w:r>
    </w:p>
    <w:p>
      <w:pPr>
        <w:snapToGrid w:val="0"/>
        <w:spacing w:line="366" w:lineRule="exact"/>
        <w:ind w:firstLine="566" w:firstLineChars="200"/>
        <w:rPr>
          <w:rFonts w:ascii="黑体" w:hAnsi="黑体" w:eastAsia="黑体"/>
          <w:sz w:val="28"/>
          <w:szCs w:val="28"/>
        </w:rPr>
      </w:pPr>
      <w:r>
        <w:rPr>
          <w:rFonts w:hint="eastAsia" w:ascii="黑体" w:hAnsi="黑体" w:eastAsia="黑体"/>
          <w:bCs/>
          <w:sz w:val="28"/>
          <w:szCs w:val="28"/>
        </w:rPr>
        <w:t>第七条　</w:t>
      </w:r>
      <w:r>
        <w:rPr>
          <w:rFonts w:hint="eastAsia" w:ascii="黑体" w:hAnsi="黑体" w:eastAsia="黑体"/>
          <w:sz w:val="28"/>
          <w:szCs w:val="28"/>
        </w:rPr>
        <w:t>验收及质保</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（一）乙方将商品运送到第六条第（一）款约定的地点后，应及时与甲方办理验收手续。甲方指定</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叶鑫</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为验收人，乙方指定</w:t>
      </w:r>
      <w:r>
        <w:rPr>
          <w:rFonts w:hint="eastAsia" w:ascii="仿宋_GB2312" w:hAnsi="宋体" w:eastAsia="仿宋_GB2312"/>
          <w:sz w:val="28"/>
          <w:szCs w:val="28"/>
          <w:u w:val="single"/>
          <w:lang w:val="en-US" w:eastAsia="zh-CN"/>
        </w:rPr>
        <w:t>陈井权</w:t>
      </w:r>
      <w:r>
        <w:rPr>
          <w:rFonts w:hint="eastAsia" w:ascii="仿宋_GB2312" w:hAnsi="宋体" w:eastAsia="仿宋_GB2312"/>
          <w:sz w:val="28"/>
          <w:szCs w:val="28"/>
        </w:rPr>
        <w:t>为验收人。</w:t>
      </w:r>
    </w:p>
    <w:p>
      <w:pPr>
        <w:snapToGrid w:val="0"/>
        <w:spacing w:line="366" w:lineRule="exact"/>
        <w:ind w:firstLine="566" w:firstLineChars="200"/>
        <w:jc w:val="left"/>
        <w:rPr>
          <w:rFonts w:ascii="仿宋_GB2312" w:hAnsi="宋体" w:eastAsia="仿宋_GB2312"/>
          <w:sz w:val="28"/>
          <w:szCs w:val="28"/>
        </w:rPr>
      </w:pPr>
      <w:r>
        <w:rPr>
          <w:rFonts w:hint="eastAsia" w:ascii="仿宋_GB2312" w:hAnsi="宋体" w:eastAsia="仿宋_GB2312"/>
          <w:sz w:val="28"/>
          <w:szCs w:val="28"/>
        </w:rPr>
        <w:t>（二）甲方应在收到商品后</w:t>
      </w:r>
      <w:r>
        <w:rPr>
          <w:rFonts w:hint="eastAsia" w:ascii="仿宋_GB2312" w:hAnsi="宋体" w:eastAsia="仿宋_GB2312"/>
          <w:sz w:val="28"/>
          <w:szCs w:val="28"/>
          <w:u w:val="single"/>
        </w:rPr>
        <w:t xml:space="preserve"> 五 </w:t>
      </w:r>
      <w:r>
        <w:rPr>
          <w:rFonts w:hint="eastAsia" w:ascii="仿宋_GB2312" w:hAnsi="宋体" w:eastAsia="仿宋_GB2312"/>
          <w:sz w:val="28"/>
          <w:szCs w:val="28"/>
        </w:rPr>
        <w:t>日内进行验收，商品</w:t>
      </w:r>
      <w:r>
        <w:rPr>
          <w:rFonts w:ascii="仿宋_GB2312" w:hAnsi="宋体" w:eastAsia="仿宋_GB2312"/>
          <w:sz w:val="28"/>
          <w:szCs w:val="28"/>
        </w:rPr>
        <w:t>如需调试，乙方应当</w:t>
      </w:r>
      <w:r>
        <w:rPr>
          <w:rFonts w:hint="eastAsia" w:ascii="仿宋_GB2312" w:hAnsi="宋体" w:eastAsia="仿宋_GB2312"/>
          <w:sz w:val="28"/>
          <w:szCs w:val="28"/>
        </w:rPr>
        <w:t>根据</w:t>
      </w:r>
      <w:r>
        <w:rPr>
          <w:rFonts w:ascii="仿宋_GB2312" w:hAnsi="宋体" w:eastAsia="仿宋_GB2312"/>
          <w:sz w:val="28"/>
          <w:szCs w:val="28"/>
        </w:rPr>
        <w:t>甲方</w:t>
      </w:r>
      <w:r>
        <w:rPr>
          <w:rFonts w:hint="eastAsia" w:ascii="仿宋_GB2312" w:hAnsi="宋体" w:eastAsia="仿宋_GB2312"/>
          <w:sz w:val="28"/>
          <w:szCs w:val="28"/>
        </w:rPr>
        <w:t>要求</w:t>
      </w:r>
      <w:r>
        <w:rPr>
          <w:rFonts w:ascii="仿宋_GB2312" w:hAnsi="宋体" w:eastAsia="仿宋_GB2312"/>
          <w:sz w:val="28"/>
          <w:szCs w:val="28"/>
        </w:rPr>
        <w:t>委派具有相应资质的人员在</w:t>
      </w:r>
      <w:r>
        <w:rPr>
          <w:rFonts w:hint="eastAsia" w:ascii="仿宋_GB2312" w:hAnsi="宋体" w:eastAsia="仿宋_GB2312"/>
          <w:sz w:val="28"/>
          <w:szCs w:val="28"/>
        </w:rPr>
        <w:t>验收</w:t>
      </w:r>
      <w:r>
        <w:rPr>
          <w:rFonts w:ascii="仿宋_GB2312" w:hAnsi="宋体" w:eastAsia="仿宋_GB2312"/>
          <w:sz w:val="28"/>
          <w:szCs w:val="28"/>
        </w:rPr>
        <w:t>前完成商品的</w:t>
      </w:r>
      <w:r>
        <w:rPr>
          <w:rFonts w:hint="eastAsia" w:ascii="仿宋_GB2312" w:hAnsi="宋体" w:eastAsia="仿宋_GB2312"/>
          <w:sz w:val="28"/>
          <w:szCs w:val="28"/>
        </w:rPr>
        <w:t>安装</w:t>
      </w:r>
      <w:r>
        <w:rPr>
          <w:rFonts w:ascii="仿宋_GB2312" w:hAnsi="宋体" w:eastAsia="仿宋_GB2312"/>
          <w:sz w:val="28"/>
          <w:szCs w:val="28"/>
        </w:rPr>
        <w:t>调试工作。</w:t>
      </w:r>
      <w:r>
        <w:rPr>
          <w:rFonts w:hint="eastAsia" w:ascii="仿宋_GB2312" w:hAnsi="宋体" w:eastAsia="仿宋_GB2312"/>
          <w:sz w:val="28"/>
          <w:szCs w:val="28"/>
        </w:rPr>
        <w:t>对存在质量问题或者其他问题的，甲方在</w:t>
      </w:r>
      <w:r>
        <w:rPr>
          <w:rFonts w:hint="eastAsia" w:ascii="仿宋_GB2312" w:hAnsi="宋体" w:eastAsia="仿宋_GB2312"/>
          <w:sz w:val="28"/>
          <w:szCs w:val="28"/>
          <w:u w:val="single"/>
        </w:rPr>
        <w:t xml:space="preserve"> 三 </w:t>
      </w:r>
      <w:r>
        <w:rPr>
          <w:rFonts w:hint="eastAsia" w:ascii="仿宋_GB2312" w:hAnsi="宋体" w:eastAsia="仿宋_GB2312"/>
          <w:sz w:val="28"/>
          <w:szCs w:val="28"/>
        </w:rPr>
        <w:t>日内提出异议，乙方须在甲方提出异议后的</w:t>
      </w:r>
      <w:r>
        <w:rPr>
          <w:rFonts w:hint="eastAsia" w:ascii="仿宋_GB2312" w:hAnsi="宋体" w:eastAsia="仿宋_GB2312"/>
          <w:sz w:val="28"/>
          <w:szCs w:val="28"/>
          <w:u w:val="single"/>
        </w:rPr>
        <w:t xml:space="preserve"> 十 </w:t>
      </w:r>
      <w:r>
        <w:rPr>
          <w:rFonts w:hint="eastAsia" w:ascii="仿宋_GB2312" w:hAnsi="宋体" w:eastAsia="仿宋_GB2312"/>
          <w:sz w:val="28"/>
          <w:szCs w:val="28"/>
        </w:rPr>
        <w:t>日内进行处理。</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（三）商品验收合格的，甲方应向乙方出具验收凭证，一式两份，经双方指定验收人签字确认后，作为乙方办理结算的凭证。</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（四）本合同约定商品的质保期为</w:t>
      </w:r>
      <w:r>
        <w:rPr>
          <w:rFonts w:hint="eastAsia" w:ascii="仿宋_GB2312" w:hAnsi="宋体" w:eastAsia="仿宋_GB2312"/>
          <w:sz w:val="28"/>
          <w:szCs w:val="28"/>
          <w:u w:val="single"/>
        </w:rPr>
        <w:t xml:space="preserve"> 1年 </w:t>
      </w:r>
      <w:r>
        <w:rPr>
          <w:rFonts w:hint="eastAsia" w:ascii="仿宋_GB2312" w:hAnsi="宋体" w:eastAsia="仿宋_GB2312"/>
          <w:sz w:val="28"/>
          <w:szCs w:val="28"/>
        </w:rPr>
        <w:t>，自验收合格之日起计算。</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（五）商品到站交付前损毁、灭失的风险由乙方承担。</w:t>
      </w:r>
    </w:p>
    <w:p>
      <w:pPr>
        <w:spacing w:line="366" w:lineRule="exact"/>
        <w:ind w:firstLine="566" w:firstLineChars="200"/>
        <w:rPr>
          <w:rFonts w:ascii="黑体" w:hAnsi="黑体" w:eastAsia="黑体"/>
          <w:bCs/>
          <w:sz w:val="28"/>
          <w:szCs w:val="28"/>
        </w:rPr>
      </w:pPr>
      <w:r>
        <w:rPr>
          <w:rFonts w:hint="eastAsia" w:ascii="黑体" w:hAnsi="黑体" w:eastAsia="黑体"/>
          <w:bCs/>
          <w:sz w:val="28"/>
          <w:szCs w:val="28"/>
        </w:rPr>
        <w:t>第八条 所有权及</w:t>
      </w:r>
      <w:r>
        <w:rPr>
          <w:rFonts w:ascii="黑体" w:hAnsi="黑体" w:eastAsia="黑体"/>
          <w:bCs/>
          <w:sz w:val="28"/>
          <w:szCs w:val="28"/>
        </w:rPr>
        <w:t>风险</w:t>
      </w:r>
      <w:r>
        <w:rPr>
          <w:rFonts w:hint="eastAsia" w:ascii="黑体" w:hAnsi="黑体" w:eastAsia="黑体"/>
          <w:bCs/>
          <w:sz w:val="28"/>
          <w:szCs w:val="28"/>
        </w:rPr>
        <w:t>转移</w:t>
      </w:r>
    </w:p>
    <w:p>
      <w:pPr>
        <w:snapToGrid w:val="0"/>
        <w:spacing w:line="366" w:lineRule="exact"/>
        <w:ind w:firstLine="566" w:firstLineChars="200"/>
        <w:rPr>
          <w:rFonts w:ascii="仿宋_GB2312" w:eastAsia="仿宋_GB2312"/>
          <w:bCs/>
          <w:sz w:val="28"/>
          <w:szCs w:val="28"/>
        </w:rPr>
      </w:pPr>
      <w:r>
        <w:rPr>
          <w:rFonts w:hint="eastAsia" w:ascii="仿宋_GB2312" w:eastAsia="仿宋_GB2312"/>
          <w:bCs/>
          <w:sz w:val="28"/>
          <w:szCs w:val="28"/>
        </w:rPr>
        <w:t>商品</w:t>
      </w:r>
      <w:r>
        <w:rPr>
          <w:rFonts w:ascii="仿宋_GB2312" w:eastAsia="仿宋_GB2312"/>
          <w:bCs/>
          <w:sz w:val="28"/>
          <w:szCs w:val="28"/>
        </w:rPr>
        <w:t>所有权依</w:t>
      </w:r>
      <w:r>
        <w:rPr>
          <w:rFonts w:hint="eastAsia" w:ascii="仿宋_GB2312" w:eastAsia="仿宋_GB2312"/>
          <w:bCs/>
          <w:sz w:val="28"/>
          <w:szCs w:val="28"/>
        </w:rPr>
        <w:t>自</w:t>
      </w:r>
      <w:r>
        <w:rPr>
          <w:rFonts w:ascii="仿宋_GB2312" w:eastAsia="仿宋_GB2312"/>
          <w:bCs/>
          <w:sz w:val="28"/>
          <w:szCs w:val="28"/>
        </w:rPr>
        <w:t>交付时转移给甲方，</w:t>
      </w:r>
      <w:r>
        <w:rPr>
          <w:rFonts w:hint="eastAsia" w:ascii="仿宋_GB2312" w:eastAsia="仿宋_GB2312"/>
          <w:bCs/>
          <w:sz w:val="28"/>
          <w:szCs w:val="28"/>
        </w:rPr>
        <w:t>商品</w:t>
      </w:r>
      <w:r>
        <w:rPr>
          <w:rFonts w:ascii="仿宋_GB2312" w:eastAsia="仿宋_GB2312"/>
          <w:bCs/>
          <w:sz w:val="28"/>
          <w:szCs w:val="28"/>
        </w:rPr>
        <w:t>毁损</w:t>
      </w:r>
      <w:r>
        <w:rPr>
          <w:rFonts w:hint="eastAsia" w:ascii="仿宋_GB2312" w:eastAsia="仿宋_GB2312"/>
          <w:bCs/>
          <w:sz w:val="28"/>
          <w:szCs w:val="28"/>
        </w:rPr>
        <w:t>灭失</w:t>
      </w:r>
      <w:r>
        <w:rPr>
          <w:rFonts w:ascii="仿宋_GB2312" w:eastAsia="仿宋_GB2312"/>
          <w:bCs/>
          <w:sz w:val="28"/>
          <w:szCs w:val="28"/>
        </w:rPr>
        <w:t>等风险于甲方验收合格后转移给甲方。</w:t>
      </w:r>
    </w:p>
    <w:p>
      <w:pPr>
        <w:snapToGrid w:val="0"/>
        <w:spacing w:line="366" w:lineRule="exact"/>
        <w:ind w:firstLine="566" w:firstLineChars="200"/>
        <w:rPr>
          <w:rFonts w:ascii="黑体" w:hAnsi="黑体" w:eastAsia="黑体"/>
          <w:sz w:val="28"/>
          <w:szCs w:val="28"/>
        </w:rPr>
      </w:pPr>
      <w:r>
        <w:rPr>
          <w:rFonts w:hint="eastAsia" w:ascii="黑体" w:hAnsi="黑体" w:eastAsia="黑体"/>
          <w:bCs/>
          <w:sz w:val="28"/>
          <w:szCs w:val="28"/>
        </w:rPr>
        <w:t xml:space="preserve">第九条 </w:t>
      </w:r>
      <w:r>
        <w:rPr>
          <w:rFonts w:hint="eastAsia" w:ascii="黑体" w:hAnsi="黑体" w:eastAsia="黑体"/>
          <w:sz w:val="28"/>
          <w:szCs w:val="28"/>
        </w:rPr>
        <w:t>付款方式及质保金</w:t>
      </w:r>
    </w:p>
    <w:p>
      <w:pPr>
        <w:spacing w:line="366" w:lineRule="exact"/>
        <w:ind w:firstLine="566" w:firstLineChars="200"/>
        <w:contextualSpacing/>
        <w:rPr>
          <w:rFonts w:ascii="Times New Roman" w:hAnsi="Times New Roman" w:eastAsia="仿宋_GB2312" w:cs="Times New Roman"/>
          <w:sz w:val="28"/>
          <w:szCs w:val="28"/>
        </w:rPr>
      </w:pPr>
      <w:r>
        <w:rPr>
          <w:rFonts w:hint="eastAsia"/>
          <w:color w:val="000000"/>
          <w:sz w:val="28"/>
          <w:szCs w:val="28"/>
        </w:rPr>
        <w:t>(一)</w:t>
      </w:r>
      <w:r>
        <w:rPr>
          <w:rFonts w:eastAsia="仿宋_GB2312" w:cs="Times New Roman"/>
          <w:sz w:val="28"/>
          <w:szCs w:val="28"/>
        </w:rPr>
        <w:t>合同签订后</w:t>
      </w:r>
      <w:r>
        <w:rPr>
          <w:rFonts w:hint="eastAsia" w:eastAsia="仿宋_GB2312" w:cs="Times New Roman"/>
          <w:color w:val="000000"/>
          <w:sz w:val="28"/>
          <w:szCs w:val="28"/>
          <w:u w:val="single"/>
        </w:rPr>
        <w:t>30个工作</w:t>
      </w:r>
      <w:r>
        <w:rPr>
          <w:rFonts w:eastAsia="仿宋_GB2312" w:cs="Times New Roman"/>
          <w:sz w:val="28"/>
          <w:szCs w:val="28"/>
        </w:rPr>
        <w:t>日内甲方向乙方支付合同总价款</w:t>
      </w:r>
      <w:r>
        <w:rPr>
          <w:rFonts w:hint="eastAsia" w:eastAsia="仿宋_GB2312" w:cs="Times New Roman"/>
          <w:sz w:val="28"/>
          <w:szCs w:val="28"/>
        </w:rPr>
        <w:t>（</w:t>
      </w:r>
      <w:r>
        <w:rPr>
          <w:rFonts w:eastAsia="仿宋_GB2312" w:cs="Times New Roman"/>
          <w:sz w:val="28"/>
          <w:szCs w:val="28"/>
        </w:rPr>
        <w:t>含增值税）的</w:t>
      </w:r>
      <w:r>
        <w:rPr>
          <w:rFonts w:hint="eastAsia" w:eastAsia="仿宋_GB2312" w:cs="Times New Roman"/>
          <w:sz w:val="28"/>
          <w:szCs w:val="28"/>
          <w:u w:val="single"/>
        </w:rPr>
        <w:t>30</w:t>
      </w:r>
      <w:r>
        <w:rPr>
          <w:rFonts w:eastAsia="仿宋_GB2312" w:cs="Times New Roman"/>
          <w:sz w:val="28"/>
          <w:szCs w:val="28"/>
        </w:rPr>
        <w:t>%小写：</w:t>
      </w:r>
      <w:r>
        <w:rPr>
          <w:rFonts w:hint="eastAsia" w:eastAsia="仿宋_GB2312" w:cs="Times New Roman"/>
          <w:sz w:val="28"/>
          <w:szCs w:val="28"/>
          <w:u w:val="single"/>
          <w:lang w:val="en-US" w:eastAsia="zh-CN"/>
        </w:rPr>
        <w:t>160275.3</w:t>
      </w:r>
      <w:r>
        <w:rPr>
          <w:rFonts w:eastAsia="仿宋_GB2312" w:cs="Times New Roman"/>
          <w:sz w:val="28"/>
          <w:szCs w:val="28"/>
        </w:rPr>
        <w:t>元；交付并验收合格、安装调试后</w:t>
      </w:r>
      <w:r>
        <w:rPr>
          <w:rFonts w:hint="eastAsia" w:eastAsia="仿宋_GB2312" w:cs="Times New Roman"/>
          <w:sz w:val="28"/>
          <w:szCs w:val="28"/>
          <w:u w:val="single"/>
        </w:rPr>
        <w:t>30</w:t>
      </w:r>
      <w:r>
        <w:rPr>
          <w:rFonts w:eastAsia="仿宋_GB2312" w:cs="Times New Roman"/>
          <w:sz w:val="28"/>
          <w:szCs w:val="28"/>
        </w:rPr>
        <w:t>日内，甲方向乙方支付合同总价款的</w:t>
      </w:r>
      <w:r>
        <w:rPr>
          <w:rFonts w:hint="eastAsia" w:eastAsia="仿宋_GB2312" w:cs="Times New Roman"/>
          <w:sz w:val="28"/>
          <w:szCs w:val="28"/>
          <w:u w:val="single"/>
        </w:rPr>
        <w:t>70</w:t>
      </w:r>
      <w:r>
        <w:rPr>
          <w:rFonts w:eastAsia="仿宋_GB2312" w:cs="Times New Roman"/>
          <w:sz w:val="28"/>
          <w:szCs w:val="28"/>
        </w:rPr>
        <w:t>%小写：</w:t>
      </w:r>
      <w:r>
        <w:rPr>
          <w:rFonts w:hint="eastAsia" w:eastAsia="仿宋_GB2312" w:cs="Times New Roman"/>
          <w:sz w:val="28"/>
          <w:szCs w:val="28"/>
          <w:u w:val="single"/>
          <w:lang w:val="en-US" w:eastAsia="zh-CN"/>
        </w:rPr>
        <w:t>373975.7</w:t>
      </w:r>
      <w:r>
        <w:rPr>
          <w:rFonts w:eastAsia="仿宋_GB2312" w:cs="Times New Roman"/>
          <w:sz w:val="28"/>
          <w:szCs w:val="28"/>
        </w:rPr>
        <w:t>元，每次付款前乙方应向甲方提供合格的增值税专用发票</w:t>
      </w:r>
      <w:r>
        <w:rPr>
          <w:rFonts w:hint="eastAsia" w:eastAsia="仿宋_GB2312" w:cs="Times New Roman"/>
          <w:sz w:val="28"/>
          <w:szCs w:val="28"/>
        </w:rPr>
        <w:t>。</w:t>
      </w:r>
      <w:r>
        <w:rPr>
          <w:rFonts w:hint="eastAsia" w:ascii="Times New Roman" w:hAnsi="Times New Roman" w:eastAsia="仿宋_GB2312" w:cs="Times New Roman"/>
          <w:sz w:val="28"/>
          <w:szCs w:val="28"/>
        </w:rPr>
        <w:t>质保期为一年，质保期内如出现质量问题乙方应按甲方要求免费维修或更换。</w:t>
      </w:r>
    </w:p>
    <w:p>
      <w:pPr>
        <w:spacing w:line="366" w:lineRule="exact"/>
        <w:ind w:firstLine="566" w:firstLineChars="200"/>
        <w:rPr>
          <w:rFonts w:ascii="仿宋_GB2312" w:hAnsi="宋体" w:eastAsia="仿宋_GB2312"/>
          <w:sz w:val="28"/>
          <w:szCs w:val="28"/>
        </w:rPr>
      </w:pPr>
      <w:r>
        <w:rPr>
          <w:rFonts w:ascii="仿宋_GB2312" w:hAnsi="宋体" w:eastAsia="仿宋_GB2312"/>
          <w:sz w:val="28"/>
          <w:szCs w:val="28"/>
        </w:rPr>
        <w:t>（二）账户信息</w:t>
      </w:r>
    </w:p>
    <w:p>
      <w:pPr>
        <w:spacing w:line="440" w:lineRule="exact"/>
        <w:ind w:firstLine="566" w:firstLineChars="200"/>
        <w:rPr>
          <w:rFonts w:ascii="仿宋_GB2312" w:hAnsi="宋体" w:eastAsia="仿宋_GB2312"/>
          <w:sz w:val="28"/>
          <w:szCs w:val="28"/>
        </w:rPr>
      </w:pPr>
      <w:r>
        <w:rPr>
          <w:rFonts w:hint="eastAsia" w:ascii="仿宋_GB2312" w:hAnsi="宋体" w:eastAsia="仿宋_GB2312"/>
          <w:sz w:val="28"/>
          <w:szCs w:val="28"/>
        </w:rPr>
        <w:t>乙方银行账户信息如下：</w:t>
      </w:r>
    </w:p>
    <w:p>
      <w:pPr>
        <w:spacing w:line="440" w:lineRule="exact"/>
        <w:ind w:firstLine="566" w:firstLineChars="200"/>
        <w:rPr>
          <w:rFonts w:ascii="仿宋_GB2312" w:hAnsi="宋体" w:eastAsia="仿宋_GB2312"/>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哈尔滨市鑫源水泥制品有限公司</w:t>
      </w:r>
    </w:p>
    <w:p>
      <w:pPr>
        <w:spacing w:line="440" w:lineRule="exact"/>
        <w:ind w:firstLine="566" w:firstLineChars="200"/>
        <w:rPr>
          <w:rFonts w:ascii="仿宋_GB2312" w:hAnsi="宋体" w:eastAsia="仿宋_GB2312"/>
          <w:sz w:val="28"/>
          <w:szCs w:val="28"/>
        </w:rPr>
      </w:pPr>
      <w:r>
        <w:rPr>
          <w:rFonts w:hint="eastAsia" w:ascii="仿宋_GB2312" w:hAnsi="宋体" w:eastAsia="仿宋_GB2312"/>
          <w:sz w:val="28"/>
          <w:szCs w:val="28"/>
        </w:rPr>
        <w:t>开户银行</w:t>
      </w:r>
      <w:r>
        <w:rPr>
          <w:rFonts w:ascii="仿宋_GB2312" w:hAnsi="宋体" w:eastAsia="仿宋_GB2312"/>
          <w:sz w:val="28"/>
          <w:szCs w:val="28"/>
        </w:rPr>
        <w:t>:</w:t>
      </w:r>
      <w:r>
        <w:rPr>
          <w:rFonts w:ascii="仿宋_GB2312" w:hAnsi="宋体" w:eastAsia="仿宋_GB2312"/>
          <w:sz w:val="28"/>
          <w:szCs w:val="28"/>
          <w:u w:val="single"/>
        </w:rPr>
        <w:t>哈尔滨农村商业银行股份有限公司华南城支行</w:t>
      </w:r>
    </w:p>
    <w:p>
      <w:pPr>
        <w:spacing w:line="440" w:lineRule="exact"/>
        <w:ind w:firstLine="566" w:firstLineChars="200"/>
        <w:rPr>
          <w:rFonts w:ascii="仿宋_GB2312" w:hAnsi="宋体" w:eastAsia="仿宋_GB2312"/>
          <w:sz w:val="28"/>
          <w:szCs w:val="28"/>
          <w:u w:val="single"/>
        </w:rPr>
      </w:pPr>
      <w:r>
        <w:rPr>
          <w:rFonts w:hint="eastAsia" w:ascii="仿宋_GB2312" w:hAnsi="宋体" w:eastAsia="仿宋_GB2312"/>
          <w:sz w:val="28"/>
          <w:szCs w:val="28"/>
        </w:rPr>
        <w:t>银行账号</w:t>
      </w:r>
      <w:r>
        <w:rPr>
          <w:rFonts w:ascii="仿宋_GB2312" w:hAnsi="宋体" w:eastAsia="仿宋_GB2312"/>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140460122000013422</w:t>
      </w:r>
      <w:r>
        <w:rPr>
          <w:rFonts w:ascii="仿宋_GB2312" w:hAnsi="宋体" w:eastAsia="仿宋_GB2312"/>
          <w:sz w:val="28"/>
          <w:szCs w:val="28"/>
          <w:u w:val="single"/>
        </w:rPr>
        <w:t xml:space="preserve"> </w:t>
      </w:r>
    </w:p>
    <w:p>
      <w:pPr>
        <w:spacing w:line="440" w:lineRule="exact"/>
        <w:ind w:firstLine="566" w:firstLineChars="200"/>
        <w:rPr>
          <w:rFonts w:ascii="仿宋_GB2312" w:hAnsi="宋体" w:eastAsia="仿宋_GB2312"/>
          <w:sz w:val="28"/>
          <w:szCs w:val="28"/>
        </w:rPr>
      </w:pPr>
      <w:r>
        <w:rPr>
          <w:rFonts w:hint="eastAsia" w:ascii="仿宋_GB2312" w:hAnsi="宋体" w:eastAsia="仿宋_GB2312"/>
          <w:sz w:val="28"/>
          <w:szCs w:val="28"/>
        </w:rPr>
        <w:t>甲方增值税专用发票开票信息如下：</w:t>
      </w:r>
    </w:p>
    <w:p>
      <w:pPr>
        <w:spacing w:line="370" w:lineRule="exact"/>
        <w:ind w:left="1981" w:leftChars="266" w:hanging="1415" w:hangingChars="500"/>
        <w:rPr>
          <w:rFonts w:ascii="仿宋_GB2312" w:hAnsi="宋体" w:eastAsia="仿宋_GB2312"/>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哈尔滨铁路工程建设有限公司哈尔滨第三线桥工程分公司</w:t>
      </w:r>
    </w:p>
    <w:p>
      <w:pPr>
        <w:spacing w:line="370" w:lineRule="exact"/>
        <w:ind w:firstLine="566" w:firstLineChars="200"/>
        <w:rPr>
          <w:rFonts w:ascii="仿宋_GB2312" w:hAnsi="宋体" w:eastAsia="仿宋_GB2312"/>
          <w:sz w:val="28"/>
          <w:szCs w:val="28"/>
          <w:u w:val="single"/>
        </w:rPr>
      </w:pPr>
      <w:r>
        <w:rPr>
          <w:rFonts w:hint="eastAsia" w:ascii="仿宋_GB2312" w:hAnsi="宋体" w:eastAsia="仿宋_GB2312"/>
          <w:sz w:val="28"/>
          <w:szCs w:val="28"/>
          <w:u w:val="single"/>
        </w:rPr>
        <w:t>纳税人识别号：91230103MA1BEJYJ9T</w:t>
      </w:r>
    </w:p>
    <w:p>
      <w:pPr>
        <w:spacing w:line="370" w:lineRule="exact"/>
        <w:ind w:firstLine="566" w:firstLineChars="200"/>
        <w:rPr>
          <w:rFonts w:ascii="仿宋_GB2312" w:hAnsi="宋体" w:eastAsia="仿宋_GB2312"/>
          <w:sz w:val="28"/>
          <w:szCs w:val="28"/>
          <w:u w:val="single"/>
        </w:rPr>
      </w:pPr>
      <w:r>
        <w:rPr>
          <w:rFonts w:hint="eastAsia" w:ascii="仿宋_GB2312" w:hAnsi="宋体" w:eastAsia="仿宋_GB2312"/>
          <w:sz w:val="28"/>
          <w:szCs w:val="28"/>
          <w:u w:val="single"/>
        </w:rPr>
        <w:t>开户银行：工行哈尔滨驻哈尔滨铁路局支行</w:t>
      </w:r>
    </w:p>
    <w:p>
      <w:pPr>
        <w:spacing w:line="370" w:lineRule="exact"/>
        <w:ind w:firstLine="566" w:firstLineChars="200"/>
        <w:rPr>
          <w:rFonts w:ascii="仿宋_GB2312" w:hAnsi="宋体" w:eastAsia="仿宋_GB2312"/>
          <w:sz w:val="28"/>
          <w:szCs w:val="28"/>
          <w:u w:val="single"/>
        </w:rPr>
      </w:pPr>
      <w:r>
        <w:rPr>
          <w:rFonts w:hint="eastAsia" w:ascii="仿宋_GB2312" w:hAnsi="宋体" w:eastAsia="仿宋_GB2312"/>
          <w:sz w:val="28"/>
          <w:szCs w:val="28"/>
          <w:u w:val="single"/>
        </w:rPr>
        <w:t>银行账号：3500043109200036003</w:t>
      </w:r>
    </w:p>
    <w:p>
      <w:pPr>
        <w:spacing w:line="370" w:lineRule="exact"/>
        <w:ind w:firstLine="566" w:firstLineChars="200"/>
        <w:rPr>
          <w:rFonts w:ascii="仿宋_GB2312" w:hAnsi="宋体" w:eastAsia="仿宋_GB2312"/>
          <w:sz w:val="28"/>
          <w:szCs w:val="28"/>
          <w:u w:val="single"/>
        </w:rPr>
      </w:pPr>
      <w:r>
        <w:rPr>
          <w:rFonts w:hint="eastAsia" w:ascii="仿宋_GB2312" w:hAnsi="宋体" w:eastAsia="仿宋_GB2312"/>
          <w:sz w:val="28"/>
          <w:szCs w:val="28"/>
          <w:u w:val="single"/>
        </w:rPr>
        <w:t>单位地址：哈尔滨市南岗区文明街56号</w:t>
      </w:r>
    </w:p>
    <w:p>
      <w:pPr>
        <w:spacing w:line="370" w:lineRule="exact"/>
        <w:ind w:firstLine="566" w:firstLineChars="200"/>
        <w:rPr>
          <w:rFonts w:ascii="仿宋_GB2312" w:hAnsi="宋体" w:eastAsia="仿宋_GB2312"/>
          <w:sz w:val="28"/>
          <w:szCs w:val="28"/>
          <w:u w:val="single"/>
        </w:rPr>
      </w:pPr>
      <w:r>
        <w:rPr>
          <w:rFonts w:hint="eastAsia" w:ascii="仿宋_GB2312" w:hAnsi="宋体" w:eastAsia="仿宋_GB2312"/>
          <w:sz w:val="28"/>
          <w:szCs w:val="28"/>
          <w:u w:val="single"/>
        </w:rPr>
        <w:t>电话：0451-86445025</w:t>
      </w:r>
    </w:p>
    <w:p>
      <w:pPr>
        <w:spacing w:line="366" w:lineRule="exact"/>
        <w:ind w:firstLine="566" w:firstLineChars="200"/>
        <w:rPr>
          <w:rFonts w:ascii="仿宋_GB2312" w:hAnsi="宋体" w:eastAsia="仿宋_GB2312"/>
          <w:sz w:val="28"/>
          <w:szCs w:val="28"/>
        </w:rPr>
      </w:pPr>
      <w:r>
        <w:rPr>
          <w:rFonts w:ascii="仿宋_GB2312" w:hAnsi="宋体" w:eastAsia="仿宋_GB2312"/>
          <w:sz w:val="28"/>
          <w:szCs w:val="28"/>
        </w:rPr>
        <w:t>任何一方如需改变上述账户信息，应提前</w:t>
      </w:r>
      <w:r>
        <w:rPr>
          <w:rFonts w:ascii="仿宋_GB2312" w:hAnsi="宋体" w:eastAsia="仿宋_GB2312"/>
          <w:sz w:val="28"/>
          <w:szCs w:val="28"/>
          <w:u w:val="single"/>
        </w:rPr>
        <w:t xml:space="preserve"> </w:t>
      </w:r>
      <w:r>
        <w:rPr>
          <w:rFonts w:hint="eastAsia" w:ascii="仿宋_GB2312" w:hAnsi="宋体" w:eastAsia="仿宋_GB2312"/>
          <w:sz w:val="28"/>
          <w:szCs w:val="28"/>
          <w:u w:val="single"/>
        </w:rPr>
        <w:t>三</w:t>
      </w:r>
      <w:r>
        <w:rPr>
          <w:rFonts w:ascii="仿宋_GB2312" w:hAnsi="宋体" w:eastAsia="仿宋_GB2312"/>
          <w:sz w:val="28"/>
          <w:szCs w:val="28"/>
          <w:u w:val="single"/>
        </w:rPr>
        <w:t xml:space="preserve"> </w:t>
      </w:r>
      <w:r>
        <w:rPr>
          <w:rFonts w:ascii="仿宋_GB2312" w:hAnsi="宋体" w:eastAsia="仿宋_GB2312"/>
          <w:sz w:val="28"/>
          <w:szCs w:val="28"/>
        </w:rPr>
        <w:t>日以书面形式通知另一方。如一方未按本合同规定通知而遭受损失的自行承担，若使另外一方遭受损失的，应赔偿相应损失。</w:t>
      </w:r>
    </w:p>
    <w:p>
      <w:pPr>
        <w:spacing w:line="366" w:lineRule="exact"/>
        <w:ind w:firstLine="566" w:firstLineChars="200"/>
        <w:rPr>
          <w:rFonts w:ascii="仿宋_GB2312" w:eastAsia="仿宋_GB2312"/>
          <w:bCs/>
          <w:sz w:val="28"/>
          <w:szCs w:val="28"/>
        </w:rPr>
      </w:pPr>
      <w:r>
        <w:rPr>
          <w:rFonts w:hint="eastAsia" w:ascii="黑体" w:hAnsi="黑体" w:eastAsia="黑体"/>
          <w:bCs/>
          <w:sz w:val="28"/>
          <w:szCs w:val="28"/>
        </w:rPr>
        <w:t>第十条  甲方权利义务</w:t>
      </w:r>
    </w:p>
    <w:p>
      <w:pPr>
        <w:spacing w:line="366" w:lineRule="exact"/>
        <w:ind w:firstLine="566" w:firstLineChars="200"/>
        <w:rPr>
          <w:rFonts w:ascii="仿宋_GB2312" w:eastAsia="仿宋_GB2312"/>
          <w:bCs/>
          <w:sz w:val="28"/>
          <w:szCs w:val="28"/>
        </w:rPr>
      </w:pPr>
      <w:r>
        <w:rPr>
          <w:rFonts w:hint="eastAsia" w:ascii="仿宋_GB2312" w:eastAsia="仿宋_GB2312"/>
          <w:bCs/>
          <w:sz w:val="28"/>
          <w:szCs w:val="28"/>
        </w:rPr>
        <w:t>（一）甲方应按合同约定按时支付货款。</w:t>
      </w:r>
    </w:p>
    <w:p>
      <w:pPr>
        <w:spacing w:line="366" w:lineRule="exact"/>
        <w:ind w:firstLine="566" w:firstLineChars="200"/>
        <w:rPr>
          <w:rFonts w:ascii="仿宋_GB2312" w:eastAsia="仿宋_GB2312"/>
          <w:bCs/>
          <w:sz w:val="28"/>
          <w:szCs w:val="28"/>
        </w:rPr>
      </w:pPr>
      <w:r>
        <w:rPr>
          <w:rFonts w:hint="eastAsia" w:ascii="仿宋_GB2312" w:eastAsia="仿宋_GB2312"/>
          <w:bCs/>
          <w:sz w:val="28"/>
          <w:szCs w:val="28"/>
        </w:rPr>
        <w:t>（二）甲方应按合同约定验收商品。</w:t>
      </w:r>
    </w:p>
    <w:p>
      <w:pPr>
        <w:spacing w:line="366" w:lineRule="exact"/>
        <w:ind w:firstLine="566" w:firstLineChars="200"/>
        <w:rPr>
          <w:rFonts w:ascii="仿宋_GB2312" w:eastAsia="仿宋_GB2312"/>
          <w:bCs/>
          <w:sz w:val="28"/>
          <w:szCs w:val="28"/>
        </w:rPr>
      </w:pPr>
      <w:r>
        <w:rPr>
          <w:rFonts w:hint="eastAsia" w:ascii="仿宋_GB2312" w:eastAsia="仿宋_GB2312"/>
          <w:bCs/>
          <w:sz w:val="28"/>
          <w:szCs w:val="28"/>
        </w:rPr>
        <w:t>（三）甲方验收时发现商品不符合约定，应在约定期限内通知乙方。</w:t>
      </w:r>
    </w:p>
    <w:p>
      <w:pPr>
        <w:spacing w:line="366" w:lineRule="exact"/>
        <w:ind w:firstLine="566" w:firstLineChars="200"/>
        <w:rPr>
          <w:rFonts w:ascii="黑体" w:hAnsi="黑体" w:eastAsia="黑体"/>
          <w:bCs/>
          <w:sz w:val="28"/>
          <w:szCs w:val="28"/>
        </w:rPr>
      </w:pPr>
      <w:r>
        <w:rPr>
          <w:rFonts w:hint="eastAsia" w:ascii="黑体" w:hAnsi="黑体" w:eastAsia="黑体"/>
          <w:bCs/>
          <w:sz w:val="28"/>
          <w:szCs w:val="28"/>
        </w:rPr>
        <w:t>第十一条  乙方权利义务</w:t>
      </w:r>
    </w:p>
    <w:p>
      <w:pPr>
        <w:spacing w:line="366" w:lineRule="exact"/>
        <w:ind w:firstLine="566" w:firstLineChars="200"/>
        <w:rPr>
          <w:rFonts w:ascii="仿宋_GB2312" w:eastAsia="仿宋_GB2312"/>
          <w:bCs/>
          <w:sz w:val="28"/>
          <w:szCs w:val="28"/>
        </w:rPr>
      </w:pPr>
      <w:r>
        <w:rPr>
          <w:rFonts w:hint="eastAsia" w:ascii="仿宋_GB2312" w:eastAsia="仿宋_GB2312"/>
          <w:bCs/>
          <w:sz w:val="28"/>
          <w:szCs w:val="28"/>
        </w:rPr>
        <w:t>（一）乙方保证交付的商品不存在任何权利瑕疵，任何第三方不能向甲方主张任何权利或要求。如出现上述情况,导致甲方利益受损的,乙方应予全部赔偿。乙方</w:t>
      </w:r>
      <w:r>
        <w:rPr>
          <w:rFonts w:ascii="仿宋_GB2312" w:eastAsia="仿宋_GB2312"/>
          <w:bCs/>
          <w:sz w:val="28"/>
          <w:szCs w:val="28"/>
        </w:rPr>
        <w:t>如为经销商应保证商品来源</w:t>
      </w:r>
      <w:r>
        <w:rPr>
          <w:rFonts w:hint="eastAsia" w:ascii="仿宋_GB2312" w:eastAsia="仿宋_GB2312"/>
          <w:bCs/>
          <w:sz w:val="28"/>
          <w:szCs w:val="28"/>
        </w:rPr>
        <w:t>合法</w:t>
      </w:r>
      <w:r>
        <w:rPr>
          <w:rFonts w:ascii="仿宋_GB2312" w:eastAsia="仿宋_GB2312"/>
          <w:bCs/>
          <w:sz w:val="28"/>
          <w:szCs w:val="28"/>
        </w:rPr>
        <w:t>。</w:t>
      </w:r>
    </w:p>
    <w:p>
      <w:pPr>
        <w:spacing w:line="366" w:lineRule="exact"/>
        <w:ind w:firstLine="566" w:firstLineChars="200"/>
        <w:rPr>
          <w:rFonts w:ascii="仿宋_GB2312" w:eastAsia="仿宋_GB2312"/>
          <w:bCs/>
          <w:sz w:val="28"/>
          <w:szCs w:val="28"/>
        </w:rPr>
      </w:pPr>
      <w:r>
        <w:rPr>
          <w:rFonts w:hint="eastAsia" w:ascii="仿宋_GB2312" w:eastAsia="仿宋_GB2312"/>
          <w:bCs/>
          <w:sz w:val="28"/>
          <w:szCs w:val="28"/>
        </w:rPr>
        <w:t>（二）乙方保证所提供的商品符合合同约定的技术标准，同时还应保证能达到既定用途，由于工艺或材料及安装问题而导致商品质量和安装质量方面的任何缺陷，乙方应对此负全部责任。甲方由此提出的索赔应通知乙方，乙方必须在1个月内更换或修复不合格商品，而其费用甲方均不负责任。</w:t>
      </w:r>
    </w:p>
    <w:p>
      <w:pPr>
        <w:spacing w:line="366" w:lineRule="exact"/>
        <w:ind w:firstLine="566" w:firstLineChars="200"/>
        <w:rPr>
          <w:rFonts w:ascii="仿宋_GB2312" w:eastAsia="仿宋_GB2312"/>
          <w:bCs/>
          <w:sz w:val="28"/>
          <w:szCs w:val="28"/>
        </w:rPr>
      </w:pPr>
      <w:r>
        <w:rPr>
          <w:rFonts w:hint="eastAsia" w:ascii="仿宋_GB2312" w:eastAsia="仿宋_GB2312"/>
          <w:bCs/>
          <w:sz w:val="28"/>
          <w:szCs w:val="28"/>
        </w:rPr>
        <w:t>（三）乙方应对由于钢轨缺陷而发生的任何不足，导致设备事故或人身事故负责并赔偿甲方由此产生的全部损失，负担所有费用。责任与损失金额以铁路监管部门或其委托的</w:t>
      </w:r>
      <w:r>
        <w:rPr>
          <w:rFonts w:hint="eastAsia" w:ascii="仿宋_GB2312" w:eastAsia="仿宋_GB2312"/>
          <w:bCs/>
          <w:sz w:val="28"/>
          <w:szCs w:val="28"/>
          <w:u w:val="single"/>
        </w:rPr>
        <w:t xml:space="preserve">  /  </w:t>
      </w:r>
      <w:r>
        <w:rPr>
          <w:rFonts w:hint="eastAsia" w:ascii="仿宋_GB2312" w:eastAsia="仿宋_GB2312"/>
          <w:bCs/>
          <w:sz w:val="28"/>
          <w:szCs w:val="28"/>
        </w:rPr>
        <w:t>机构出具的事故认定书为准。</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（四）乙方应负责现场安装与调试及技术指导工作。</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（五）应于安装改造前完成现场单位工作人员的技术培训，并提供相关技术资料。</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（六）质量保证期内发生设备（商品） 不良时，乙方承诺负责免费维修或者更换，并承诺质量保证期后设备（商品） 的维修工作，</w:t>
      </w:r>
      <w:r>
        <w:rPr>
          <w:rFonts w:ascii="仿宋_GB2312" w:eastAsia="仿宋_GB2312"/>
          <w:sz w:val="28"/>
          <w:szCs w:val="28"/>
        </w:rPr>
        <w:t>产生的费</w:t>
      </w:r>
      <w:r>
        <w:rPr>
          <w:rFonts w:hint="eastAsia" w:ascii="仿宋_GB2312" w:eastAsia="仿宋_GB2312"/>
          <w:sz w:val="28"/>
          <w:szCs w:val="28"/>
        </w:rPr>
        <w:t>用均由</w:t>
      </w:r>
      <w:r>
        <w:rPr>
          <w:rFonts w:ascii="仿宋_GB2312" w:eastAsia="仿宋_GB2312"/>
          <w:sz w:val="28"/>
          <w:szCs w:val="28"/>
        </w:rPr>
        <w:t>乙方承担</w:t>
      </w:r>
      <w:r>
        <w:rPr>
          <w:rFonts w:hint="eastAsia" w:ascii="仿宋_GB2312" w:eastAsia="仿宋_GB2312"/>
          <w:sz w:val="28"/>
          <w:szCs w:val="28"/>
        </w:rPr>
        <w:t>。</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（七）</w:t>
      </w:r>
      <w:r>
        <w:rPr>
          <w:rFonts w:hint="eastAsia" w:ascii="仿宋_GB2312" w:eastAsia="仿宋_GB2312"/>
          <w:bCs/>
          <w:sz w:val="28"/>
          <w:szCs w:val="28"/>
        </w:rPr>
        <w:t>乙方应按照甲方的要求，保证其配件以合理的价格供应，费用由甲方支付。</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（八）因技术改进需要进行软件升级时乙方承诺免费提供升级服务，使用和维修中出现硬件和软件故障承诺免费提供技术服务等。</w:t>
      </w:r>
    </w:p>
    <w:p>
      <w:pPr>
        <w:spacing w:line="366" w:lineRule="exact"/>
        <w:ind w:firstLine="566" w:firstLineChars="200"/>
        <w:rPr>
          <w:rFonts w:ascii="仿宋_GB2312" w:eastAsia="仿宋_GB2312"/>
          <w:sz w:val="28"/>
          <w:szCs w:val="28"/>
          <w:u w:val="single"/>
        </w:rPr>
      </w:pPr>
      <w:r>
        <w:rPr>
          <w:rFonts w:hint="eastAsia" w:ascii="仿宋_GB2312" w:eastAsia="仿宋_GB2312"/>
          <w:sz w:val="28"/>
          <w:szCs w:val="28"/>
        </w:rPr>
        <w:t>（九）其它</w:t>
      </w:r>
      <w:r>
        <w:rPr>
          <w:rFonts w:hint="eastAsia" w:ascii="仿宋_GB2312" w:eastAsia="仿宋_GB2312"/>
          <w:sz w:val="28"/>
          <w:szCs w:val="28"/>
          <w:u w:val="single"/>
        </w:rPr>
        <w:t xml:space="preserve">    /   </w:t>
      </w:r>
      <w:r>
        <w:rPr>
          <w:rFonts w:hint="eastAsia" w:ascii="仿宋_GB2312" w:eastAsia="仿宋_GB2312"/>
          <w:sz w:val="28"/>
          <w:szCs w:val="28"/>
        </w:rPr>
        <w:t>。</w:t>
      </w:r>
    </w:p>
    <w:p>
      <w:pPr>
        <w:spacing w:line="366" w:lineRule="exact"/>
        <w:ind w:firstLine="566" w:firstLineChars="200"/>
        <w:rPr>
          <w:rFonts w:ascii="黑体" w:hAnsi="黑体" w:eastAsia="黑体"/>
          <w:bCs/>
          <w:sz w:val="28"/>
          <w:szCs w:val="28"/>
        </w:rPr>
      </w:pPr>
      <w:r>
        <w:rPr>
          <w:rFonts w:hint="eastAsia" w:ascii="黑体" w:hAnsi="黑体" w:eastAsia="黑体"/>
          <w:bCs/>
          <w:sz w:val="28"/>
          <w:szCs w:val="28"/>
        </w:rPr>
        <w:t>第十二条  违约责任</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（一）甲方逾期向乙方支付合同价款，每逾期一日，应向乙方支付应付而未付合同价款的</w:t>
      </w:r>
      <w:r>
        <w:rPr>
          <w:rFonts w:hint="eastAsia" w:ascii="仿宋_GB2312" w:eastAsia="仿宋_GB2312"/>
          <w:sz w:val="28"/>
          <w:szCs w:val="28"/>
          <w:u w:val="single"/>
        </w:rPr>
        <w:t xml:space="preserve"> / </w:t>
      </w:r>
      <w:r>
        <w:rPr>
          <w:rFonts w:hint="eastAsia" w:ascii="仿宋_GB2312" w:eastAsia="仿宋_GB2312"/>
          <w:sz w:val="28"/>
          <w:szCs w:val="28"/>
        </w:rPr>
        <w:t>%的违约金。</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（二）乙方未按合同约定按时向甲方交付商品的，每逾期一日，应向甲方支付应交付商品合同价款</w:t>
      </w:r>
      <w:r>
        <w:rPr>
          <w:rFonts w:hint="eastAsia" w:ascii="仿宋_GB2312" w:eastAsia="仿宋_GB2312"/>
          <w:sz w:val="28"/>
          <w:szCs w:val="28"/>
          <w:u w:val="single"/>
        </w:rPr>
        <w:t xml:space="preserve"> / </w:t>
      </w:r>
      <w:r>
        <w:rPr>
          <w:rFonts w:hint="eastAsia" w:ascii="仿宋_GB2312" w:eastAsia="仿宋_GB2312"/>
          <w:sz w:val="28"/>
          <w:szCs w:val="28"/>
        </w:rPr>
        <w:t>%的违约金。</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（三）因乙方交付的商品存在质量</w:t>
      </w:r>
      <w:r>
        <w:rPr>
          <w:rFonts w:ascii="仿宋_GB2312" w:eastAsia="仿宋_GB2312"/>
          <w:sz w:val="28"/>
          <w:szCs w:val="28"/>
        </w:rPr>
        <w:t>问题或隐蔽瑕疵、</w:t>
      </w:r>
      <w:r>
        <w:rPr>
          <w:rFonts w:hint="eastAsia" w:ascii="仿宋_GB2312" w:eastAsia="仿宋_GB2312"/>
          <w:sz w:val="28"/>
          <w:szCs w:val="28"/>
        </w:rPr>
        <w:t>权属上的瑕疵或知识产权争议的，乙方应向甲方支付该商品合同价款的</w:t>
      </w:r>
      <w:r>
        <w:rPr>
          <w:rFonts w:hint="eastAsia" w:ascii="仿宋_GB2312" w:eastAsia="仿宋_GB2312"/>
          <w:sz w:val="28"/>
          <w:szCs w:val="28"/>
          <w:u w:val="single"/>
        </w:rPr>
        <w:t xml:space="preserve"> / </w:t>
      </w:r>
      <w:r>
        <w:rPr>
          <w:rFonts w:hint="eastAsia" w:ascii="仿宋_GB2312" w:eastAsia="仿宋_GB2312"/>
          <w:sz w:val="28"/>
          <w:szCs w:val="28"/>
        </w:rPr>
        <w:t>%作为违约金，违约金不足以补偿甲方损失的，乙方还应赔偿甲方由此造成的损失。</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（四）因商品在质保期内出现问题影响到甲方正常使用，乙方应在接到通知后</w:t>
      </w:r>
      <w:r>
        <w:rPr>
          <w:rFonts w:hint="eastAsia" w:ascii="仿宋_GB2312" w:eastAsia="仿宋_GB2312"/>
          <w:sz w:val="28"/>
          <w:szCs w:val="28"/>
          <w:u w:val="single"/>
        </w:rPr>
        <w:t xml:space="preserve"> 十 </w:t>
      </w:r>
      <w:r>
        <w:rPr>
          <w:rFonts w:hint="eastAsia" w:ascii="仿宋_GB2312" w:eastAsia="仿宋_GB2312"/>
          <w:sz w:val="28"/>
          <w:szCs w:val="28"/>
        </w:rPr>
        <w:t>日内，对商品进行修复或更换，乙方未在约定时间内进行修复或更换的，甲方有权自行进行处理，所产生的一切费用均由乙方承担；甲方可以就此费用在质保金中进行扣除，质保金不足以抵偿费用的，乙方应予以赔偿。</w:t>
      </w:r>
    </w:p>
    <w:p>
      <w:pPr>
        <w:spacing w:line="366" w:lineRule="exact"/>
        <w:ind w:firstLine="566" w:firstLineChars="200"/>
        <w:rPr>
          <w:rFonts w:ascii="仿宋_GB2312" w:eastAsia="仿宋_GB2312"/>
          <w:sz w:val="28"/>
          <w:szCs w:val="28"/>
        </w:rPr>
      </w:pPr>
      <w:r>
        <w:rPr>
          <w:rFonts w:hint="eastAsia" w:ascii="仿宋_GB2312" w:eastAsia="仿宋_GB2312"/>
          <w:sz w:val="28"/>
          <w:szCs w:val="28"/>
        </w:rPr>
        <w:t>（五）乙方包括乙方指定的单位在提供商品的交货、搬运、装卸、安装、调试、维修、保修、保养等服务过程中，违反国家法律、法规、规章制度、作业标准、铁路行业相关规定、甲方现场管理制度及本合同的约定，造成财产损失、人身损害的，由乙方自行承担全部责任。给甲方造成损失的，应赔偿甲方实际损失，包括但不限于诉讼费、律师费、司法机关等裁决应由甲方赔偿的费用等。</w:t>
      </w:r>
    </w:p>
    <w:p>
      <w:pPr>
        <w:snapToGrid w:val="0"/>
        <w:spacing w:line="366" w:lineRule="exact"/>
        <w:ind w:firstLine="566" w:firstLineChars="200"/>
        <w:rPr>
          <w:rFonts w:ascii="黑体" w:hAnsi="黑体" w:eastAsia="黑体"/>
          <w:sz w:val="28"/>
          <w:szCs w:val="28"/>
        </w:rPr>
      </w:pPr>
      <w:r>
        <w:rPr>
          <w:rFonts w:hint="eastAsia" w:ascii="黑体" w:hAnsi="黑体" w:eastAsia="黑体"/>
          <w:sz w:val="28"/>
          <w:szCs w:val="28"/>
        </w:rPr>
        <w:t>第十三条 不可抗力</w:t>
      </w:r>
    </w:p>
    <w:p>
      <w:pPr>
        <w:snapToGrid w:val="0"/>
        <w:spacing w:line="366" w:lineRule="exact"/>
        <w:ind w:firstLine="566" w:firstLineChars="200"/>
        <w:rPr>
          <w:rFonts w:ascii="仿宋_GB2312" w:eastAsia="仿宋_GB2312"/>
          <w:sz w:val="28"/>
          <w:szCs w:val="28"/>
          <w:lang w:val="en-GB"/>
        </w:rPr>
      </w:pPr>
      <w:r>
        <w:rPr>
          <w:rFonts w:hint="eastAsia" w:ascii="仿宋_GB2312" w:eastAsia="仿宋_GB2312"/>
          <w:sz w:val="28"/>
          <w:szCs w:val="28"/>
          <w:lang w:val="en-GB"/>
        </w:rPr>
        <w:t>（一）</w:t>
      </w:r>
      <w:r>
        <w:rPr>
          <w:rFonts w:ascii="仿宋_GB2312" w:eastAsia="仿宋_GB2312"/>
          <w:sz w:val="28"/>
          <w:szCs w:val="28"/>
          <w:lang w:val="en-GB"/>
        </w:rPr>
        <w:t>在合同履行结束之前任何时候，如果发生任何</w:t>
      </w:r>
      <w:r>
        <w:rPr>
          <w:rFonts w:hint="eastAsia" w:ascii="仿宋_GB2312" w:eastAsia="仿宋_GB2312"/>
          <w:sz w:val="28"/>
          <w:szCs w:val="28"/>
          <w:lang w:val="en-GB"/>
        </w:rPr>
        <w:t>合同签订时双方</w:t>
      </w:r>
      <w:r>
        <w:rPr>
          <w:rFonts w:ascii="仿宋_GB2312" w:eastAsia="仿宋_GB2312"/>
          <w:sz w:val="28"/>
          <w:szCs w:val="28"/>
          <w:lang w:val="en-GB"/>
        </w:rPr>
        <w:t>不可预见、不可避免并且不能克服的客观情况，包括地震、水灾、重大传染性疾病以及战争等不可抗力情形</w:t>
      </w:r>
      <w:r>
        <w:rPr>
          <w:rFonts w:hint="eastAsia" w:ascii="仿宋_GB2312" w:eastAsia="仿宋_GB2312"/>
          <w:sz w:val="28"/>
          <w:szCs w:val="28"/>
          <w:lang w:val="en-GB"/>
        </w:rPr>
        <w:t>；钢厂排产、铁路运输的限制无法履行合同</w:t>
      </w:r>
      <w:r>
        <w:rPr>
          <w:rFonts w:hint="eastAsia" w:ascii="仿宋_GB2312" w:eastAsia="仿宋_GB2312"/>
          <w:sz w:val="28"/>
          <w:szCs w:val="28"/>
        </w:rPr>
        <w:t>时</w:t>
      </w:r>
      <w:r>
        <w:rPr>
          <w:rFonts w:hint="eastAsia" w:ascii="仿宋_GB2312" w:eastAsia="仿宋_GB2312"/>
          <w:sz w:val="28"/>
          <w:szCs w:val="28"/>
          <w:lang w:val="en-GB"/>
        </w:rPr>
        <w:t>，当事人一方应当及时通知对方，并应提供适当的证明，</w:t>
      </w:r>
      <w:r>
        <w:rPr>
          <w:rFonts w:ascii="仿宋_GB2312" w:eastAsia="仿宋_GB2312"/>
          <w:sz w:val="28"/>
          <w:szCs w:val="28"/>
          <w:lang w:val="en-GB"/>
        </w:rPr>
        <w:t>双方协商一致后可决定暂缓履行或终止履行本合同。</w:t>
      </w:r>
    </w:p>
    <w:p>
      <w:pPr>
        <w:snapToGrid w:val="0"/>
        <w:spacing w:line="366" w:lineRule="exact"/>
        <w:ind w:firstLine="566" w:firstLineChars="200"/>
        <w:rPr>
          <w:rFonts w:ascii="仿宋_GB2312" w:eastAsia="仿宋_GB2312"/>
          <w:sz w:val="28"/>
          <w:szCs w:val="28"/>
          <w:lang w:val="en-GB"/>
        </w:rPr>
      </w:pPr>
      <w:r>
        <w:rPr>
          <w:rFonts w:hint="eastAsia" w:ascii="仿宋_GB2312" w:eastAsia="仿宋_GB2312"/>
          <w:sz w:val="28"/>
          <w:szCs w:val="28"/>
          <w:lang w:val="en-GB"/>
        </w:rPr>
        <w:t>（二）</w:t>
      </w:r>
      <w:r>
        <w:rPr>
          <w:rFonts w:ascii="仿宋_GB2312" w:eastAsia="仿宋_GB2312"/>
          <w:sz w:val="28"/>
          <w:szCs w:val="28"/>
          <w:lang w:val="en-GB"/>
        </w:rPr>
        <w:t>如果上述不可抗力事件的发生影响一方履行其在本合同项下的义务，则在不可抗力造成的延误期内中止履行不视为违约。</w:t>
      </w:r>
    </w:p>
    <w:p>
      <w:pPr>
        <w:snapToGrid w:val="0"/>
        <w:spacing w:line="366" w:lineRule="exact"/>
        <w:ind w:firstLine="566" w:firstLineChars="200"/>
        <w:rPr>
          <w:rFonts w:ascii="仿宋_GB2312" w:eastAsia="仿宋_GB2312"/>
          <w:sz w:val="28"/>
          <w:szCs w:val="28"/>
          <w:lang w:val="en-GB"/>
        </w:rPr>
      </w:pPr>
      <w:r>
        <w:rPr>
          <w:rFonts w:hint="eastAsia" w:ascii="仿宋_GB2312" w:eastAsia="仿宋_GB2312"/>
          <w:sz w:val="28"/>
          <w:szCs w:val="28"/>
          <w:lang w:val="en-GB"/>
        </w:rPr>
        <w:t>（三）</w:t>
      </w:r>
      <w:r>
        <w:rPr>
          <w:rFonts w:ascii="仿宋_GB2312" w:eastAsia="仿宋_GB2312"/>
          <w:sz w:val="28"/>
          <w:szCs w:val="28"/>
          <w:lang w:val="en-GB"/>
        </w:rPr>
        <w:t>本合同任何一方因不可抗力不能履行或不能完全履行本合同义务时，应当在不可抗力发生之日起15日内通知另一方，并在其后的30天内提供证明不可抗力事件发生及其持续的</w:t>
      </w:r>
      <w:r>
        <w:rPr>
          <w:rFonts w:hint="eastAsia" w:ascii="仿宋_GB2312" w:eastAsia="仿宋_GB2312"/>
          <w:sz w:val="28"/>
          <w:szCs w:val="28"/>
          <w:lang w:val="en-GB"/>
        </w:rPr>
        <w:t>充分</w:t>
      </w:r>
      <w:r>
        <w:rPr>
          <w:rFonts w:ascii="仿宋_GB2312" w:eastAsia="仿宋_GB2312"/>
          <w:sz w:val="28"/>
          <w:szCs w:val="28"/>
          <w:lang w:val="en-GB"/>
        </w:rPr>
        <w:t>证据。</w:t>
      </w:r>
    </w:p>
    <w:p>
      <w:pPr>
        <w:snapToGrid w:val="0"/>
        <w:spacing w:line="366" w:lineRule="exact"/>
        <w:ind w:firstLine="566" w:firstLineChars="200"/>
        <w:rPr>
          <w:rFonts w:ascii="仿宋_GB2312" w:eastAsia="仿宋_GB2312"/>
          <w:sz w:val="28"/>
          <w:szCs w:val="28"/>
          <w:lang w:val="en-GB"/>
        </w:rPr>
      </w:pPr>
      <w:r>
        <w:rPr>
          <w:rFonts w:hint="eastAsia" w:ascii="仿宋_GB2312" w:eastAsia="仿宋_GB2312"/>
          <w:sz w:val="28"/>
          <w:szCs w:val="28"/>
          <w:lang w:val="en-GB"/>
        </w:rPr>
        <w:t>（四）</w:t>
      </w:r>
      <w:r>
        <w:rPr>
          <w:rFonts w:ascii="仿宋_GB2312" w:eastAsia="仿宋_GB2312"/>
          <w:sz w:val="28"/>
          <w:szCs w:val="28"/>
          <w:lang w:val="en-GB"/>
        </w:rPr>
        <w:t>如果发生不可抗力事件，双方应协商，以找到公平的解决办法，并且应尽一切合理努力将不可抗力事件的</w:t>
      </w:r>
      <w:r>
        <w:rPr>
          <w:rFonts w:hint="eastAsia" w:ascii="仿宋_GB2312" w:eastAsia="仿宋_GB2312"/>
          <w:sz w:val="28"/>
          <w:szCs w:val="28"/>
          <w:lang w:val="en-GB"/>
        </w:rPr>
        <w:t>影响</w:t>
      </w:r>
      <w:r>
        <w:rPr>
          <w:rFonts w:ascii="仿宋_GB2312" w:eastAsia="仿宋_GB2312"/>
          <w:sz w:val="28"/>
          <w:szCs w:val="28"/>
          <w:lang w:val="en-GB"/>
        </w:rPr>
        <w:t>减小到最低限度</w:t>
      </w:r>
      <w:r>
        <w:rPr>
          <w:rFonts w:hint="eastAsia" w:ascii="仿宋_GB2312" w:eastAsia="仿宋_GB2312"/>
          <w:sz w:val="28"/>
          <w:szCs w:val="28"/>
          <w:lang w:val="en-GB"/>
        </w:rPr>
        <w:t>；</w:t>
      </w:r>
      <w:r>
        <w:rPr>
          <w:rFonts w:ascii="仿宋_GB2312" w:eastAsia="仿宋_GB2312"/>
          <w:sz w:val="28"/>
          <w:szCs w:val="28"/>
          <w:lang w:val="en-GB"/>
        </w:rPr>
        <w:t>否则，未采取合理努力方应就扩大的损失承担相应的赔偿责任。</w:t>
      </w:r>
    </w:p>
    <w:p>
      <w:pPr>
        <w:snapToGrid w:val="0"/>
        <w:spacing w:line="366" w:lineRule="exact"/>
        <w:ind w:firstLine="566" w:firstLineChars="200"/>
        <w:rPr>
          <w:rFonts w:ascii="黑体" w:hAnsi="黑体" w:eastAsia="黑体"/>
          <w:sz w:val="28"/>
          <w:szCs w:val="28"/>
        </w:rPr>
      </w:pPr>
      <w:r>
        <w:rPr>
          <w:rFonts w:hint="eastAsia" w:ascii="黑体" w:hAnsi="黑体" w:eastAsia="黑体"/>
          <w:sz w:val="28"/>
          <w:szCs w:val="28"/>
        </w:rPr>
        <w:t>第十四条 合同的变更与解除</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（一）除本合同另有约定外，经双方协商一致，可以变更或解除本合同，并以书面形式确定。</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（二）</w:t>
      </w:r>
      <w:r>
        <w:rPr>
          <w:rFonts w:hint="eastAsia" w:ascii="仿宋_GB2312" w:hAnsi="宋体" w:eastAsia="仿宋_GB2312"/>
          <w:sz w:val="28"/>
          <w:szCs w:val="28"/>
          <w:lang w:bidi="en-US"/>
        </w:rPr>
        <w:t>因国家法律、法规及政策调整导致税费变化的，双方可根据税费变化情况对合同相关内容进行调整。</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（三）甲方有以下情形之一的，乙方可以解除合同：</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1.甲方逾期</w:t>
      </w:r>
      <w:r>
        <w:rPr>
          <w:rFonts w:hint="eastAsia" w:ascii="仿宋_GB2312" w:hAnsi="宋体" w:eastAsia="仿宋_GB2312"/>
          <w:sz w:val="28"/>
          <w:szCs w:val="28"/>
          <w:u w:val="single"/>
        </w:rPr>
        <w:t xml:space="preserve">  二十 </w:t>
      </w:r>
      <w:r>
        <w:rPr>
          <w:rFonts w:hint="eastAsia" w:ascii="仿宋_GB2312" w:hAnsi="宋体" w:eastAsia="仿宋_GB2312"/>
          <w:sz w:val="28"/>
          <w:szCs w:val="28"/>
        </w:rPr>
        <w:t>日未支付合同价款的。</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2.其他情形：</w:t>
      </w:r>
      <w:r>
        <w:rPr>
          <w:rFonts w:hint="eastAsia" w:ascii="仿宋_GB2312" w:hAnsi="宋体" w:eastAsia="仿宋_GB2312"/>
          <w:sz w:val="28"/>
          <w:szCs w:val="28"/>
          <w:u w:val="single"/>
        </w:rPr>
        <w:t xml:space="preserve">       /        </w:t>
      </w:r>
      <w:r>
        <w:rPr>
          <w:rFonts w:hint="eastAsia" w:ascii="仿宋_GB2312" w:hAnsi="宋体" w:eastAsia="仿宋_GB2312"/>
          <w:sz w:val="28"/>
          <w:szCs w:val="28"/>
        </w:rPr>
        <w:t>。</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（四）乙方有以下情形之一的，甲方可以解除合同：</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1.乙方逾期</w:t>
      </w:r>
      <w:r>
        <w:rPr>
          <w:rFonts w:hint="eastAsia" w:ascii="仿宋_GB2312" w:hAnsi="宋体" w:eastAsia="仿宋_GB2312"/>
          <w:sz w:val="28"/>
          <w:szCs w:val="28"/>
          <w:u w:val="single"/>
        </w:rPr>
        <w:t xml:space="preserve"> 二十 </w:t>
      </w:r>
      <w:r>
        <w:rPr>
          <w:rFonts w:hint="eastAsia" w:ascii="仿宋_GB2312" w:hAnsi="宋体" w:eastAsia="仿宋_GB2312"/>
          <w:sz w:val="28"/>
          <w:szCs w:val="28"/>
        </w:rPr>
        <w:t>日未交付商品的。</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2.乙方交付的商品经修理或更换后仍不能正常使用的。</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3.其他情形：</w:t>
      </w:r>
      <w:r>
        <w:rPr>
          <w:rFonts w:hint="eastAsia" w:ascii="仿宋_GB2312" w:hAnsi="宋体" w:eastAsia="仿宋_GB2312"/>
          <w:sz w:val="28"/>
          <w:szCs w:val="28"/>
          <w:u w:val="single"/>
        </w:rPr>
        <w:t xml:space="preserve">          /       </w:t>
      </w:r>
      <w:r>
        <w:rPr>
          <w:rFonts w:hint="eastAsia" w:ascii="仿宋_GB2312" w:hAnsi="宋体" w:eastAsia="仿宋_GB2312"/>
          <w:sz w:val="28"/>
          <w:szCs w:val="28"/>
        </w:rPr>
        <w:t>。</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（五）一方应承担的违约责任不因合同的解除而予以免除。</w:t>
      </w:r>
    </w:p>
    <w:p>
      <w:pPr>
        <w:snapToGrid w:val="0"/>
        <w:spacing w:line="366" w:lineRule="exact"/>
        <w:ind w:firstLine="566" w:firstLineChars="200"/>
        <w:rPr>
          <w:rFonts w:ascii="黑体" w:hAnsi="黑体" w:eastAsia="黑体"/>
          <w:sz w:val="28"/>
          <w:szCs w:val="28"/>
        </w:rPr>
      </w:pPr>
      <w:r>
        <w:rPr>
          <w:rFonts w:hint="eastAsia" w:ascii="黑体" w:hAnsi="黑体" w:eastAsia="黑体"/>
          <w:sz w:val="28"/>
          <w:szCs w:val="28"/>
        </w:rPr>
        <w:t xml:space="preserve">第十五条 争议解决 </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（一）所有因本合同引起的或与本合同有关的任何争议将通过双方友好协商解决。如果双方</w:t>
      </w:r>
      <w:r>
        <w:rPr>
          <w:rFonts w:ascii="仿宋_GB2312" w:hAnsi="宋体" w:eastAsia="仿宋_GB2312"/>
          <w:sz w:val="28"/>
          <w:szCs w:val="28"/>
        </w:rPr>
        <w:t>不能协商达成一致的，双方约定采取下述第〔</w:t>
      </w:r>
      <w:r>
        <w:rPr>
          <w:rFonts w:hint="eastAsia" w:ascii="仿宋_GB2312" w:hAnsi="宋体" w:eastAsia="仿宋_GB2312"/>
          <w:sz w:val="28"/>
          <w:szCs w:val="28"/>
        </w:rPr>
        <w:t>2</w:t>
      </w:r>
      <w:r>
        <w:rPr>
          <w:rFonts w:ascii="仿宋_GB2312" w:hAnsi="宋体" w:eastAsia="仿宋_GB2312"/>
          <w:sz w:val="28"/>
          <w:szCs w:val="28"/>
        </w:rPr>
        <w:t>〕种争议解决方式：</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向</w:t>
      </w:r>
      <w:r>
        <w:rPr>
          <w:rFonts w:ascii="仿宋_GB2312" w:hAnsi="宋体" w:eastAsia="仿宋_GB2312"/>
          <w:sz w:val="28"/>
          <w:szCs w:val="28"/>
          <w:u w:val="single"/>
        </w:rPr>
        <w:t xml:space="preserve">   </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ascii="仿宋_GB2312" w:hAnsi="宋体" w:eastAsia="仿宋_GB2312"/>
          <w:sz w:val="28"/>
          <w:szCs w:val="28"/>
        </w:rPr>
        <w:t>仲裁委员会申请仲裁，按照届时有效的仲裁规则进行</w:t>
      </w:r>
      <w:r>
        <w:rPr>
          <w:rFonts w:hint="eastAsia" w:ascii="仿宋_GB2312" w:hAnsi="宋体" w:eastAsia="仿宋_GB2312"/>
          <w:sz w:val="28"/>
          <w:szCs w:val="28"/>
        </w:rPr>
        <w:t>仲裁</w:t>
      </w:r>
      <w:r>
        <w:rPr>
          <w:rFonts w:ascii="仿宋_GB2312" w:hAnsi="宋体" w:eastAsia="仿宋_GB2312"/>
          <w:sz w:val="28"/>
          <w:szCs w:val="28"/>
        </w:rPr>
        <w:t>，仲裁裁决是终局的，对双方均有约束力。</w:t>
      </w:r>
    </w:p>
    <w:p>
      <w:pPr>
        <w:snapToGrid w:val="0"/>
        <w:spacing w:line="366" w:lineRule="exact"/>
        <w:ind w:firstLine="566"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w:t>
      </w:r>
      <w:r>
        <w:rPr>
          <w:rFonts w:ascii="仿宋_GB2312" w:hAnsi="宋体" w:eastAsia="仿宋_GB2312"/>
          <w:sz w:val="28"/>
          <w:szCs w:val="28"/>
        </w:rPr>
        <w:t>向甲方所在地有管辖权的法院提起诉讼。</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3.按照中国铁路总公司相关规定调解解决。</w:t>
      </w:r>
    </w:p>
    <w:p>
      <w:pPr>
        <w:snapToGrid w:val="0"/>
        <w:spacing w:line="366" w:lineRule="exact"/>
        <w:ind w:firstLine="566" w:firstLineChars="200"/>
        <w:rPr>
          <w:rFonts w:ascii="仿宋_GB2312" w:hAnsi="宋体" w:eastAsia="仿宋_GB2312"/>
          <w:sz w:val="28"/>
          <w:szCs w:val="28"/>
        </w:rPr>
      </w:pPr>
      <w:r>
        <w:rPr>
          <w:rFonts w:ascii="仿宋_GB2312" w:hAnsi="宋体" w:eastAsia="仿宋_GB2312"/>
          <w:sz w:val="28"/>
          <w:szCs w:val="28"/>
        </w:rPr>
        <w:t>（二）仲裁</w:t>
      </w:r>
      <w:r>
        <w:rPr>
          <w:rFonts w:hint="eastAsia" w:ascii="仿宋_GB2312" w:hAnsi="宋体" w:eastAsia="仿宋_GB2312"/>
          <w:sz w:val="28"/>
          <w:szCs w:val="28"/>
        </w:rPr>
        <w:t>、</w:t>
      </w:r>
      <w:r>
        <w:rPr>
          <w:rFonts w:ascii="仿宋_GB2312" w:hAnsi="宋体" w:eastAsia="仿宋_GB2312"/>
          <w:sz w:val="28"/>
          <w:szCs w:val="28"/>
        </w:rPr>
        <w:t>诉讼</w:t>
      </w:r>
      <w:r>
        <w:rPr>
          <w:rFonts w:hint="eastAsia" w:ascii="仿宋_GB2312" w:hAnsi="宋体" w:eastAsia="仿宋_GB2312"/>
          <w:sz w:val="28"/>
          <w:szCs w:val="28"/>
        </w:rPr>
        <w:t>或调解</w:t>
      </w:r>
      <w:r>
        <w:rPr>
          <w:rFonts w:ascii="仿宋_GB2312" w:hAnsi="宋体" w:eastAsia="仿宋_GB2312"/>
          <w:sz w:val="28"/>
          <w:szCs w:val="28"/>
        </w:rPr>
        <w:t>进行过程中，双方将继续履行本合同未涉争议的其它部分。</w:t>
      </w:r>
    </w:p>
    <w:p>
      <w:pPr>
        <w:snapToGrid w:val="0"/>
        <w:spacing w:line="366" w:lineRule="exact"/>
        <w:ind w:firstLine="566" w:firstLineChars="200"/>
        <w:rPr>
          <w:rFonts w:ascii="黑体" w:hAnsi="黑体" w:eastAsia="黑体"/>
          <w:sz w:val="28"/>
          <w:szCs w:val="28"/>
        </w:rPr>
      </w:pPr>
      <w:r>
        <w:rPr>
          <w:rFonts w:hint="eastAsia" w:ascii="黑体" w:hAnsi="黑体" w:eastAsia="黑体"/>
          <w:sz w:val="28"/>
          <w:szCs w:val="28"/>
        </w:rPr>
        <w:t>第十六条 保密条款</w:t>
      </w:r>
    </w:p>
    <w:p>
      <w:pPr>
        <w:snapToGrid w:val="0"/>
        <w:spacing w:line="366" w:lineRule="exact"/>
        <w:ind w:firstLine="566" w:firstLineChars="200"/>
        <w:rPr>
          <w:rFonts w:ascii="仿宋_GB2312" w:hAnsi="宋体" w:eastAsia="仿宋_GB2312"/>
          <w:b/>
          <w:sz w:val="28"/>
          <w:szCs w:val="28"/>
        </w:rPr>
      </w:pPr>
      <w:r>
        <w:rPr>
          <w:rFonts w:hint="eastAsia" w:ascii="仿宋_GB2312" w:hAnsi="宋体" w:eastAsia="仿宋_GB2312"/>
          <w:sz w:val="28"/>
          <w:szCs w:val="28"/>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snapToGrid w:val="0"/>
        <w:spacing w:line="366" w:lineRule="exact"/>
        <w:ind w:firstLine="566" w:firstLineChars="200"/>
        <w:rPr>
          <w:rFonts w:ascii="仿宋_GB2312" w:hAnsi="宋体" w:eastAsia="仿宋_GB2312"/>
          <w:bCs/>
          <w:sz w:val="28"/>
          <w:szCs w:val="28"/>
        </w:rPr>
      </w:pPr>
      <w:r>
        <w:rPr>
          <w:rFonts w:hint="eastAsia" w:ascii="仿宋_GB2312" w:hAnsi="宋体" w:eastAsia="仿宋_GB2312"/>
          <w:sz w:val="28"/>
          <w:szCs w:val="28"/>
        </w:rPr>
        <w:t>（二）</w:t>
      </w:r>
      <w:r>
        <w:rPr>
          <w:rFonts w:hint="eastAsia" w:ascii="仿宋_GB2312" w:hAnsi="宋体" w:eastAsia="仿宋_GB2312"/>
          <w:bCs/>
          <w:sz w:val="28"/>
          <w:szCs w:val="28"/>
        </w:rPr>
        <w:t>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snapToGrid w:val="0"/>
        <w:spacing w:line="366" w:lineRule="exact"/>
        <w:ind w:firstLine="566" w:firstLineChars="200"/>
        <w:rPr>
          <w:rFonts w:ascii="仿宋_GB2312" w:hAnsi="宋体" w:eastAsia="仿宋_GB2312"/>
          <w:bCs/>
          <w:sz w:val="28"/>
          <w:szCs w:val="28"/>
        </w:rPr>
      </w:pPr>
      <w:r>
        <w:rPr>
          <w:rFonts w:hint="eastAsia" w:ascii="仿宋_GB2312" w:hAnsi="宋体" w:eastAsia="仿宋_GB2312"/>
          <w:sz w:val="28"/>
          <w:szCs w:val="28"/>
        </w:rPr>
        <w:t>（三）</w:t>
      </w:r>
      <w:r>
        <w:rPr>
          <w:rFonts w:hint="eastAsia" w:ascii="仿宋_GB2312" w:hAnsi="宋体" w:eastAsia="仿宋_GB2312"/>
          <w:bCs/>
          <w:sz w:val="28"/>
          <w:szCs w:val="28"/>
        </w:rPr>
        <w:t>任何一方对于保密信息的义务应延续至该等信息因合法的原因而成为公开信息。</w:t>
      </w:r>
    </w:p>
    <w:p>
      <w:pPr>
        <w:snapToGrid w:val="0"/>
        <w:spacing w:line="366" w:lineRule="exact"/>
        <w:ind w:firstLine="566" w:firstLineChars="200"/>
        <w:rPr>
          <w:rFonts w:ascii="仿宋_GB2312" w:hAnsi="宋体" w:eastAsia="仿宋_GB2312"/>
          <w:sz w:val="28"/>
          <w:szCs w:val="28"/>
          <w:lang w:val="en-GB"/>
        </w:rPr>
      </w:pPr>
      <w:r>
        <w:rPr>
          <w:rFonts w:hint="eastAsia" w:ascii="仿宋_GB2312" w:hAnsi="宋体" w:eastAsia="仿宋_GB2312"/>
          <w:sz w:val="28"/>
          <w:szCs w:val="28"/>
        </w:rPr>
        <w:t>（四）</w:t>
      </w:r>
      <w:r>
        <w:rPr>
          <w:rFonts w:hint="eastAsia" w:ascii="仿宋_GB2312" w:hAnsi="宋体" w:eastAsia="仿宋_GB2312"/>
          <w:bCs/>
          <w:sz w:val="28"/>
          <w:szCs w:val="28"/>
        </w:rPr>
        <w:t>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snapToGrid w:val="0"/>
        <w:spacing w:line="366" w:lineRule="exact"/>
        <w:ind w:firstLine="566" w:firstLineChars="200"/>
        <w:rPr>
          <w:rFonts w:ascii="黑体" w:hAnsi="黑体" w:eastAsia="黑体"/>
          <w:sz w:val="28"/>
          <w:szCs w:val="28"/>
        </w:rPr>
      </w:pPr>
      <w:r>
        <w:rPr>
          <w:rFonts w:hint="eastAsia" w:ascii="黑体" w:hAnsi="黑体" w:eastAsia="黑体"/>
          <w:sz w:val="28"/>
          <w:szCs w:val="28"/>
        </w:rPr>
        <w:t>第十七条 通知</w:t>
      </w:r>
    </w:p>
    <w:p>
      <w:pPr>
        <w:spacing w:line="366" w:lineRule="exact"/>
        <w:ind w:firstLine="566" w:firstLineChars="200"/>
        <w:contextualSpacing/>
        <w:rPr>
          <w:rFonts w:ascii="Times New Roman" w:hAnsi="Times New Roman" w:eastAsia="仿宋_GB2312"/>
          <w:sz w:val="28"/>
          <w:szCs w:val="28"/>
        </w:rPr>
      </w:pPr>
      <w:r>
        <w:rPr>
          <w:rFonts w:ascii="Times New Roman" w:hAnsi="Times New Roman" w:eastAsia="仿宋_GB2312"/>
          <w:sz w:val="28"/>
          <w:szCs w:val="28"/>
          <w:lang w:val="en-GB"/>
        </w:rPr>
        <w:t>（一）</w:t>
      </w:r>
      <w:r>
        <w:rPr>
          <w:rFonts w:ascii="Times New Roman" w:hAnsi="Times New Roman" w:eastAsia="仿宋_GB2312"/>
          <w:sz w:val="28"/>
          <w:szCs w:val="28"/>
        </w:rPr>
        <w:t>甲、乙双方因履行本合同或与本合同有关的一切通知都应以书面形式送达对方，</w:t>
      </w:r>
      <w:r>
        <w:rPr>
          <w:rFonts w:ascii="Times New Roman" w:hAnsi="Times New Roman" w:eastAsia="仿宋_GB2312"/>
          <w:sz w:val="28"/>
          <w:szCs w:val="28"/>
          <w:lang w:val="en-GB"/>
        </w:rPr>
        <w:t>受送达方应即时签收。如由于受送达方的原因不能送达或受送达方拒绝签收的，送达方可采用</w:t>
      </w:r>
      <w:r>
        <w:rPr>
          <w:rFonts w:hint="eastAsia" w:ascii="Times New Roman" w:hAnsi="Times New Roman" w:eastAsia="仿宋_GB2312"/>
          <w:sz w:val="28"/>
          <w:szCs w:val="28"/>
        </w:rPr>
        <w:t>邮箱或</w:t>
      </w:r>
      <w:r>
        <w:rPr>
          <w:rFonts w:ascii="Times New Roman" w:hAnsi="Times New Roman" w:eastAsia="仿宋_GB2312"/>
          <w:sz w:val="28"/>
          <w:szCs w:val="28"/>
        </w:rPr>
        <w:t>邮寄</w:t>
      </w:r>
      <w:r>
        <w:rPr>
          <w:rFonts w:hint="eastAsia" w:ascii="Times New Roman" w:hAnsi="Times New Roman" w:eastAsia="仿宋_GB2312"/>
          <w:sz w:val="28"/>
          <w:szCs w:val="28"/>
        </w:rPr>
        <w:t>方式</w:t>
      </w:r>
      <w:r>
        <w:rPr>
          <w:rFonts w:ascii="Times New Roman" w:hAnsi="Times New Roman" w:eastAsia="仿宋_GB2312"/>
          <w:sz w:val="28"/>
          <w:szCs w:val="28"/>
        </w:rPr>
        <w:t>送达，邮件寄至本合同记载之地址时，即视为送达。一方变更联系人或收件人的，应当及时以书面形式通知另一方。未及时通知并影响本合同履行或造成损失的，应承担相应的责任。</w:t>
      </w:r>
    </w:p>
    <w:p>
      <w:pPr>
        <w:adjustRightInd w:val="0"/>
        <w:spacing w:line="366" w:lineRule="exact"/>
        <w:ind w:firstLine="566" w:firstLineChars="200"/>
        <w:contextualSpacing/>
        <w:rPr>
          <w:rFonts w:ascii="Times New Roman" w:hAnsi="Times New Roman" w:eastAsia="仿宋_GB2312"/>
          <w:sz w:val="28"/>
          <w:szCs w:val="28"/>
        </w:rPr>
      </w:pPr>
      <w:r>
        <w:rPr>
          <w:rFonts w:ascii="Times New Roman" w:hAnsi="Times New Roman" w:eastAsia="仿宋_GB2312"/>
          <w:sz w:val="28"/>
          <w:szCs w:val="28"/>
          <w:lang w:val="en-GB"/>
        </w:rPr>
        <w:t>（二）</w:t>
      </w:r>
      <w:r>
        <w:rPr>
          <w:rFonts w:ascii="Times New Roman" w:hAnsi="Times New Roman" w:eastAsia="仿宋_GB2312"/>
          <w:sz w:val="28"/>
          <w:szCs w:val="28"/>
        </w:rPr>
        <w:t>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adjustRightInd w:val="0"/>
        <w:spacing w:line="440" w:lineRule="exact"/>
        <w:ind w:firstLine="566" w:firstLineChars="200"/>
        <w:contextualSpacing/>
        <w:rPr>
          <w:rFonts w:eastAsia="仿宋_GB2312"/>
          <w:sz w:val="28"/>
          <w:szCs w:val="28"/>
        </w:rPr>
      </w:pPr>
      <w:r>
        <w:rPr>
          <w:rFonts w:hint="eastAsia" w:eastAsia="仿宋_GB2312"/>
          <w:sz w:val="28"/>
          <w:szCs w:val="28"/>
        </w:rPr>
        <w:t>双方确认以下地址为相关通知、法律文书、诉讼文件等的送达地址：</w:t>
      </w:r>
    </w:p>
    <w:p>
      <w:pPr>
        <w:spacing w:line="370" w:lineRule="exact"/>
        <w:ind w:firstLine="566" w:firstLineChars="200"/>
        <w:rPr>
          <w:rFonts w:eastAsia="仿宋_GB2312"/>
          <w:sz w:val="28"/>
          <w:szCs w:val="28"/>
        </w:rPr>
      </w:pPr>
      <w:r>
        <w:rPr>
          <w:rFonts w:hint="eastAsia" w:eastAsia="仿宋_GB2312"/>
          <w:sz w:val="28"/>
          <w:szCs w:val="28"/>
        </w:rPr>
        <w:t>甲方确认的送达地址：</w:t>
      </w:r>
      <w:r>
        <w:rPr>
          <w:rFonts w:hint="eastAsia" w:ascii="仿宋_GB2312" w:hAnsi="宋体" w:eastAsia="仿宋_GB2312"/>
          <w:sz w:val="28"/>
          <w:szCs w:val="28"/>
          <w:u w:val="single"/>
        </w:rPr>
        <w:t>哈尔滨市南岗区文明街56号</w:t>
      </w:r>
    </w:p>
    <w:p>
      <w:pPr>
        <w:adjustRightInd w:val="0"/>
        <w:spacing w:line="440" w:lineRule="exact"/>
        <w:ind w:firstLine="566" w:firstLineChars="200"/>
        <w:contextualSpacing/>
        <w:rPr>
          <w:rFonts w:eastAsia="仿宋_GB2312"/>
          <w:sz w:val="28"/>
          <w:szCs w:val="28"/>
        </w:rPr>
      </w:pPr>
      <w:r>
        <w:rPr>
          <w:rFonts w:hint="eastAsia" w:eastAsia="仿宋_GB2312"/>
          <w:sz w:val="28"/>
          <w:szCs w:val="28"/>
        </w:rPr>
        <w:t>邮政编码：</w:t>
      </w:r>
      <w:r>
        <w:rPr>
          <w:rFonts w:eastAsia="仿宋_GB2312"/>
          <w:sz w:val="28"/>
          <w:szCs w:val="28"/>
          <w:u w:val="single"/>
        </w:rPr>
        <w:t xml:space="preserve"> 1</w:t>
      </w:r>
      <w:r>
        <w:rPr>
          <w:rFonts w:hint="eastAsia" w:eastAsia="仿宋_GB2312"/>
          <w:sz w:val="28"/>
          <w:szCs w:val="28"/>
          <w:u w:val="single"/>
        </w:rPr>
        <w:t>50001</w:t>
      </w:r>
      <w:r>
        <w:rPr>
          <w:rFonts w:eastAsia="仿宋_GB2312"/>
          <w:sz w:val="28"/>
          <w:szCs w:val="28"/>
          <w:u w:val="single"/>
        </w:rPr>
        <w:t xml:space="preserve"> </w:t>
      </w:r>
    </w:p>
    <w:p>
      <w:pPr>
        <w:adjustRightInd w:val="0"/>
        <w:spacing w:line="440" w:lineRule="exact"/>
        <w:ind w:firstLine="566" w:firstLineChars="200"/>
        <w:contextualSpacing/>
        <w:rPr>
          <w:rFonts w:eastAsia="仿宋_GB2312"/>
          <w:sz w:val="28"/>
          <w:szCs w:val="28"/>
          <w:u w:val="single"/>
        </w:rPr>
      </w:pPr>
      <w:r>
        <w:rPr>
          <w:rFonts w:hint="eastAsia" w:eastAsia="仿宋_GB2312"/>
          <w:sz w:val="28"/>
          <w:szCs w:val="28"/>
        </w:rPr>
        <w:t>收件人：</w:t>
      </w:r>
      <w:r>
        <w:rPr>
          <w:rFonts w:hint="eastAsia" w:eastAsia="仿宋_GB2312"/>
          <w:sz w:val="28"/>
          <w:szCs w:val="28"/>
          <w:u w:val="single"/>
        </w:rPr>
        <w:t xml:space="preserve">刘兴权   </w:t>
      </w:r>
      <w:r>
        <w:rPr>
          <w:rFonts w:hint="eastAsia" w:eastAsia="仿宋_GB2312"/>
          <w:sz w:val="28"/>
          <w:szCs w:val="28"/>
        </w:rPr>
        <w:t>手机号码：</w:t>
      </w:r>
      <w:r>
        <w:rPr>
          <w:rFonts w:eastAsia="仿宋_GB2312"/>
          <w:sz w:val="28"/>
          <w:szCs w:val="28"/>
          <w:u w:val="single"/>
        </w:rPr>
        <w:t xml:space="preserve">  </w:t>
      </w:r>
      <w:r>
        <w:rPr>
          <w:rFonts w:hint="eastAsia" w:eastAsia="仿宋_GB2312"/>
          <w:sz w:val="28"/>
          <w:szCs w:val="28"/>
          <w:u w:val="single"/>
        </w:rPr>
        <w:t>18845416776</w:t>
      </w:r>
      <w:r>
        <w:rPr>
          <w:rFonts w:eastAsia="仿宋_GB2312"/>
          <w:sz w:val="28"/>
          <w:szCs w:val="28"/>
          <w:u w:val="single"/>
        </w:rPr>
        <w:t xml:space="preserve">   </w:t>
      </w:r>
    </w:p>
    <w:p>
      <w:pPr>
        <w:adjustRightInd w:val="0"/>
        <w:spacing w:line="440" w:lineRule="exact"/>
        <w:ind w:firstLine="566" w:firstLineChars="200"/>
        <w:contextualSpacing/>
        <w:rPr>
          <w:rFonts w:hint="eastAsia" w:ascii="宋体" w:hAnsi="宋体"/>
          <w:b/>
          <w:bCs/>
          <w:sz w:val="28"/>
          <w:szCs w:val="28"/>
          <w:u w:val="single"/>
        </w:rPr>
      </w:pPr>
      <w:r>
        <w:rPr>
          <w:rFonts w:hint="eastAsia" w:eastAsia="仿宋_GB2312"/>
          <w:sz w:val="28"/>
          <w:szCs w:val="28"/>
        </w:rPr>
        <w:t>乙方确认的送达地址：</w:t>
      </w:r>
      <w:r>
        <w:rPr>
          <w:rFonts w:hint="eastAsia" w:ascii="宋体" w:hAnsi="宋体"/>
          <w:bCs/>
          <w:sz w:val="28"/>
          <w:szCs w:val="28"/>
          <w:u w:val="single"/>
        </w:rPr>
        <w:t>哈尔滨市香坊区高子镇新城村</w:t>
      </w:r>
    </w:p>
    <w:p>
      <w:pPr>
        <w:adjustRightInd w:val="0"/>
        <w:spacing w:line="440" w:lineRule="exact"/>
        <w:ind w:firstLine="566" w:firstLineChars="200"/>
        <w:contextualSpacing/>
        <w:rPr>
          <w:rFonts w:eastAsia="仿宋_GB2312"/>
          <w:sz w:val="28"/>
          <w:szCs w:val="28"/>
        </w:rPr>
      </w:pPr>
      <w:r>
        <w:rPr>
          <w:rFonts w:hint="eastAsia" w:eastAsia="仿宋_GB2312"/>
          <w:sz w:val="28"/>
          <w:szCs w:val="28"/>
        </w:rPr>
        <w:t>邮政编码：</w:t>
      </w:r>
      <w:r>
        <w:rPr>
          <w:rFonts w:hint="eastAsia" w:eastAsia="仿宋_GB2312"/>
          <w:sz w:val="28"/>
          <w:szCs w:val="28"/>
          <w:u w:val="single"/>
        </w:rPr>
        <w:t>150000</w:t>
      </w:r>
    </w:p>
    <w:p>
      <w:pPr>
        <w:adjustRightInd w:val="0"/>
        <w:spacing w:line="440" w:lineRule="exact"/>
        <w:ind w:firstLine="566" w:firstLineChars="200"/>
        <w:contextualSpacing/>
        <w:jc w:val="left"/>
        <w:rPr>
          <w:rFonts w:eastAsia="仿宋_GB2312"/>
          <w:sz w:val="28"/>
          <w:szCs w:val="28"/>
          <w:u w:val="single"/>
        </w:rPr>
      </w:pPr>
      <w:r>
        <w:rPr>
          <w:rFonts w:hint="eastAsia" w:eastAsia="仿宋_GB2312"/>
          <w:sz w:val="28"/>
          <w:szCs w:val="28"/>
        </w:rPr>
        <w:t>收件人：</w:t>
      </w:r>
      <w:r>
        <w:rPr>
          <w:rFonts w:hint="eastAsia" w:eastAsia="仿宋_GB2312"/>
          <w:sz w:val="28"/>
          <w:szCs w:val="28"/>
          <w:u w:val="single"/>
        </w:rPr>
        <w:t xml:space="preserve">王洪康  </w:t>
      </w:r>
      <w:r>
        <w:rPr>
          <w:rFonts w:hint="eastAsia" w:eastAsia="仿宋_GB2312"/>
          <w:sz w:val="28"/>
          <w:szCs w:val="28"/>
        </w:rPr>
        <w:t>手机号码：</w:t>
      </w:r>
      <w:r>
        <w:rPr>
          <w:rFonts w:hint="eastAsia" w:eastAsia="仿宋_GB2312"/>
          <w:sz w:val="28"/>
          <w:szCs w:val="28"/>
          <w:u w:val="single"/>
        </w:rPr>
        <w:t>18604653789</w:t>
      </w:r>
    </w:p>
    <w:p>
      <w:pPr>
        <w:adjustRightInd w:val="0"/>
        <w:spacing w:line="366" w:lineRule="exact"/>
        <w:ind w:firstLine="566" w:firstLineChars="200"/>
        <w:contextualSpacing/>
        <w:jc w:val="left"/>
        <w:rPr>
          <w:rFonts w:ascii="Times New Roman" w:hAnsi="Times New Roman" w:eastAsia="仿宋_GB2312"/>
          <w:sz w:val="28"/>
          <w:szCs w:val="28"/>
          <w:u w:val="single"/>
        </w:rPr>
      </w:pPr>
    </w:p>
    <w:p>
      <w:pPr>
        <w:snapToGrid w:val="0"/>
        <w:spacing w:line="366" w:lineRule="exact"/>
        <w:ind w:firstLine="566" w:firstLineChars="200"/>
        <w:rPr>
          <w:rFonts w:ascii="Times New Roman" w:hAnsi="Times New Roman" w:eastAsia="仿宋_GB2312"/>
          <w:sz w:val="28"/>
          <w:szCs w:val="28"/>
        </w:rPr>
      </w:pPr>
      <w:r>
        <w:rPr>
          <w:rFonts w:ascii="Times New Roman" w:hAnsi="Times New Roman" w:eastAsia="仿宋_GB2312"/>
          <w:sz w:val="28"/>
          <w:szCs w:val="28"/>
        </w:rPr>
        <w:t>双方上述送达地址适用范围包括本合同履行期间各类通知、合同等文件以及就合同发生纠纷时相关文件和法律文书的送达，同时包括在争议进入民事诉讼程序的一审、二审、再审和执行程序。</w:t>
      </w:r>
    </w:p>
    <w:p>
      <w:pPr>
        <w:snapToGrid w:val="0"/>
        <w:spacing w:line="366" w:lineRule="exact"/>
        <w:ind w:firstLine="566" w:firstLineChars="200"/>
        <w:rPr>
          <w:rFonts w:ascii="黑体" w:hAnsi="黑体" w:eastAsia="黑体"/>
          <w:sz w:val="28"/>
          <w:szCs w:val="28"/>
        </w:rPr>
      </w:pPr>
      <w:r>
        <w:rPr>
          <w:rFonts w:hint="eastAsia" w:ascii="黑体" w:hAnsi="黑体" w:eastAsia="黑体"/>
          <w:sz w:val="28"/>
          <w:szCs w:val="28"/>
        </w:rPr>
        <w:t>第十八条 合同生效条件及文本数量</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（一）</w:t>
      </w:r>
      <w:r>
        <w:rPr>
          <w:rFonts w:ascii="仿宋_GB2312" w:hAnsi="宋体" w:eastAsia="仿宋_GB2312"/>
          <w:sz w:val="28"/>
          <w:szCs w:val="28"/>
        </w:rPr>
        <w:t>本合同经双方法定代表人</w:t>
      </w:r>
      <w:r>
        <w:rPr>
          <w:rFonts w:hint="eastAsia" w:ascii="仿宋_GB2312" w:hAnsi="宋体" w:eastAsia="仿宋_GB2312"/>
          <w:sz w:val="28"/>
          <w:szCs w:val="28"/>
        </w:rPr>
        <w:t>（负责人）</w:t>
      </w:r>
      <w:r>
        <w:rPr>
          <w:rFonts w:ascii="仿宋_GB2312" w:hAnsi="宋体" w:eastAsia="仿宋_GB2312"/>
          <w:sz w:val="28"/>
          <w:szCs w:val="28"/>
        </w:rPr>
        <w:t>或委托代理人签字并盖章后生效</w:t>
      </w:r>
      <w:r>
        <w:rPr>
          <w:rFonts w:hint="eastAsia" w:ascii="仿宋_GB2312" w:hAnsi="宋体" w:eastAsia="仿宋_GB2312"/>
          <w:sz w:val="28"/>
          <w:szCs w:val="28"/>
        </w:rPr>
        <w:t>。</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（二）</w:t>
      </w:r>
      <w:r>
        <w:rPr>
          <w:rFonts w:ascii="仿宋_GB2312" w:hAnsi="宋体" w:eastAsia="仿宋_GB2312"/>
          <w:sz w:val="28"/>
          <w:szCs w:val="28"/>
        </w:rPr>
        <w:t>本合同文本一式</w:t>
      </w:r>
      <w:r>
        <w:rPr>
          <w:rFonts w:ascii="仿宋_GB2312" w:hAnsi="宋体" w:eastAsia="仿宋_GB2312"/>
          <w:sz w:val="28"/>
          <w:szCs w:val="28"/>
          <w:u w:val="single"/>
        </w:rPr>
        <w:t xml:space="preserve"> </w:t>
      </w:r>
      <w:r>
        <w:rPr>
          <w:rFonts w:hint="eastAsia" w:ascii="仿宋_GB2312" w:hAnsi="宋体" w:eastAsia="仿宋_GB2312"/>
          <w:sz w:val="28"/>
          <w:szCs w:val="28"/>
          <w:u w:val="single"/>
        </w:rPr>
        <w:t>5</w:t>
      </w:r>
      <w:r>
        <w:rPr>
          <w:rFonts w:ascii="仿宋_GB2312" w:hAnsi="宋体" w:eastAsia="仿宋_GB2312"/>
          <w:sz w:val="28"/>
          <w:szCs w:val="28"/>
          <w:u w:val="single"/>
        </w:rPr>
        <w:t xml:space="preserve"> </w:t>
      </w:r>
      <w:r>
        <w:rPr>
          <w:rFonts w:ascii="仿宋_GB2312" w:hAnsi="宋体" w:eastAsia="仿宋_GB2312"/>
          <w:sz w:val="28"/>
          <w:szCs w:val="28"/>
        </w:rPr>
        <w:t>份，甲方执</w:t>
      </w:r>
      <w:r>
        <w:rPr>
          <w:rFonts w:hint="eastAsia" w:ascii="仿宋_GB2312" w:hAnsi="宋体" w:eastAsia="仿宋_GB2312"/>
          <w:sz w:val="28"/>
          <w:szCs w:val="28"/>
          <w:u w:val="single"/>
        </w:rPr>
        <w:t>4</w:t>
      </w:r>
      <w:r>
        <w:rPr>
          <w:rFonts w:ascii="仿宋_GB2312" w:hAnsi="宋体" w:eastAsia="仿宋_GB2312"/>
          <w:sz w:val="28"/>
          <w:szCs w:val="28"/>
          <w:u w:val="single"/>
        </w:rPr>
        <w:t xml:space="preserve"> </w:t>
      </w:r>
      <w:r>
        <w:rPr>
          <w:rFonts w:ascii="仿宋_GB2312" w:hAnsi="宋体" w:eastAsia="仿宋_GB2312"/>
          <w:sz w:val="28"/>
          <w:szCs w:val="28"/>
        </w:rPr>
        <w:t>份</w:t>
      </w:r>
      <w:r>
        <w:rPr>
          <w:rFonts w:hint="eastAsia" w:ascii="仿宋_GB2312" w:hAnsi="宋体" w:eastAsia="仿宋_GB2312"/>
          <w:sz w:val="28"/>
          <w:szCs w:val="28"/>
        </w:rPr>
        <w:t>，</w:t>
      </w:r>
      <w:r>
        <w:rPr>
          <w:rFonts w:ascii="仿宋_GB2312" w:hAnsi="宋体" w:eastAsia="仿宋_GB2312"/>
          <w:sz w:val="28"/>
          <w:szCs w:val="28"/>
        </w:rPr>
        <w:t>乙方执</w:t>
      </w:r>
      <w:r>
        <w:rPr>
          <w:rFonts w:ascii="仿宋_GB2312" w:hAnsi="宋体" w:eastAsia="仿宋_GB2312"/>
          <w:sz w:val="28"/>
          <w:szCs w:val="28"/>
          <w:u w:val="single"/>
        </w:rPr>
        <w:t xml:space="preserve"> </w:t>
      </w:r>
      <w:r>
        <w:rPr>
          <w:rFonts w:hint="eastAsia" w:ascii="仿宋_GB2312" w:hAnsi="宋体" w:eastAsia="仿宋_GB2312"/>
          <w:sz w:val="28"/>
          <w:szCs w:val="28"/>
          <w:u w:val="single"/>
        </w:rPr>
        <w:t>1</w:t>
      </w:r>
      <w:r>
        <w:rPr>
          <w:rFonts w:ascii="仿宋_GB2312" w:hAnsi="宋体" w:eastAsia="仿宋_GB2312"/>
          <w:sz w:val="28"/>
          <w:szCs w:val="28"/>
          <w:u w:val="single"/>
        </w:rPr>
        <w:t xml:space="preserve"> </w:t>
      </w:r>
      <w:r>
        <w:rPr>
          <w:rFonts w:ascii="仿宋_GB2312" w:hAnsi="宋体" w:eastAsia="仿宋_GB2312"/>
          <w:sz w:val="28"/>
          <w:szCs w:val="28"/>
        </w:rPr>
        <w:t>份。</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黑体" w:hAnsi="黑体" w:eastAsia="黑体"/>
          <w:sz w:val="28"/>
          <w:szCs w:val="28"/>
        </w:rPr>
        <w:t>第十九条 其他约定</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 xml:space="preserve">（一）对本合同做出的任何修改和补充应为书面形式，由甲、乙双方签字盖章后成为本合同不可分割的部分。本合同与其补充合同冲突时，以补充合同为准。 </w:t>
      </w:r>
    </w:p>
    <w:p>
      <w:pPr>
        <w:snapToGrid w:val="0"/>
        <w:spacing w:line="366" w:lineRule="exact"/>
        <w:ind w:firstLine="566" w:firstLineChars="200"/>
        <w:rPr>
          <w:rFonts w:ascii="仿宋_GB2312" w:hAnsi="宋体" w:eastAsia="仿宋_GB2312"/>
          <w:sz w:val="28"/>
          <w:szCs w:val="28"/>
        </w:rPr>
      </w:pPr>
      <w:r>
        <w:rPr>
          <w:rFonts w:hint="eastAsia" w:ascii="仿宋_GB2312" w:hAnsi="宋体" w:eastAsia="仿宋_GB2312"/>
          <w:sz w:val="28"/>
          <w:szCs w:val="28"/>
        </w:rPr>
        <w:t>（二）本合同项下乙方的全部或者部分权利义务，未经双方达成一致并签订书面补充协议，不得转让，否则承担由此给甲方造成的一切损失。</w:t>
      </w:r>
    </w:p>
    <w:p>
      <w:pPr>
        <w:adjustRightInd w:val="0"/>
        <w:spacing w:line="366" w:lineRule="exact"/>
        <w:contextualSpacing/>
      </w:pPr>
      <w:r>
        <w:rPr>
          <w:rFonts w:hint="eastAsia" w:ascii="仿宋_GB2312" w:eastAsia="仿宋_GB2312"/>
          <w:sz w:val="28"/>
          <w:szCs w:val="28"/>
        </w:rPr>
        <w:t xml:space="preserve"> </w:t>
      </w:r>
    </w:p>
    <w:p>
      <w:pPr>
        <w:adjustRightInd w:val="0"/>
        <w:spacing w:line="366" w:lineRule="exact"/>
        <w:contextualSpacing/>
        <w:rPr>
          <w:rFonts w:ascii="仿宋_GB2312" w:eastAsia="仿宋_GB2312"/>
          <w:sz w:val="28"/>
          <w:szCs w:val="28"/>
        </w:rPr>
      </w:pPr>
    </w:p>
    <w:p>
      <w:pPr>
        <w:adjustRightInd w:val="0"/>
        <w:spacing w:line="366" w:lineRule="exact"/>
        <w:contextualSpacing/>
        <w:rPr>
          <w:rFonts w:ascii="宋体" w:hAnsi="宋体"/>
          <w:bCs/>
          <w:color w:val="000000"/>
          <w:sz w:val="28"/>
          <w:szCs w:val="28"/>
          <w:u w:val="single"/>
        </w:rPr>
      </w:pPr>
      <w:r>
        <w:rPr>
          <w:rFonts w:hint="eastAsia" w:ascii="仿宋_GB2312" w:eastAsia="仿宋_GB2312"/>
          <w:sz w:val="28"/>
          <w:szCs w:val="28"/>
        </w:rPr>
        <w:t xml:space="preserve">   </w:t>
      </w:r>
      <w:r>
        <w:rPr>
          <w:rFonts w:hint="eastAsia" w:ascii="宋体" w:hAnsi="宋体"/>
          <w:bCs/>
          <w:color w:val="000000"/>
          <w:sz w:val="28"/>
          <w:szCs w:val="28"/>
          <w:u w:val="single"/>
        </w:rPr>
        <w:t>本页无正文，为哈尔滨铁路工程建设有限公司哈尔滨第三线桥工程公司（甲方名称）与哈尔滨市鑫源水泥制品有限公司（乙方名称）汤林线友好至红山间封闭工程钢筋混凝土防护栅栏买卖合同（合同编号： 哈三线桥202100</w:t>
      </w:r>
      <w:r>
        <w:rPr>
          <w:rFonts w:hint="eastAsia" w:ascii="宋体" w:hAnsi="宋体"/>
          <w:bCs/>
          <w:color w:val="000000"/>
          <w:sz w:val="28"/>
          <w:szCs w:val="28"/>
          <w:u w:val="single"/>
          <w:lang w:val="en-US" w:eastAsia="zh-CN"/>
        </w:rPr>
        <w:t>29</w:t>
      </w:r>
      <w:r>
        <w:rPr>
          <w:rFonts w:hint="eastAsia" w:ascii="宋体" w:hAnsi="宋体"/>
          <w:bCs/>
          <w:color w:val="000000"/>
          <w:sz w:val="28"/>
          <w:szCs w:val="28"/>
          <w:u w:val="single"/>
        </w:rPr>
        <w:t>）签署页。</w:t>
      </w:r>
    </w:p>
    <w:p>
      <w:pPr>
        <w:snapToGrid w:val="0"/>
        <w:spacing w:line="366" w:lineRule="exact"/>
        <w:ind w:firstLine="566" w:firstLineChars="200"/>
        <w:rPr>
          <w:rFonts w:ascii="仿宋_GB2312" w:hAnsi="宋体" w:eastAsia="仿宋_GB2312"/>
          <w:sz w:val="28"/>
          <w:szCs w:val="28"/>
        </w:rPr>
      </w:pPr>
    </w:p>
    <w:p>
      <w:pPr>
        <w:snapToGrid w:val="0"/>
        <w:spacing w:line="366" w:lineRule="exact"/>
        <w:ind w:firstLine="566" w:firstLineChars="200"/>
        <w:rPr>
          <w:rFonts w:ascii="仿宋_GB2312" w:hAnsi="宋体" w:eastAsia="仿宋_GB2312"/>
          <w:sz w:val="28"/>
          <w:szCs w:val="28"/>
        </w:rPr>
      </w:pPr>
    </w:p>
    <w:p>
      <w:pPr>
        <w:snapToGrid w:val="0"/>
        <w:spacing w:line="366" w:lineRule="exact"/>
        <w:ind w:firstLine="566" w:firstLineChars="200"/>
        <w:rPr>
          <w:rFonts w:ascii="仿宋_GB2312" w:hAnsi="宋体" w:eastAsia="仿宋_GB2312"/>
          <w:sz w:val="28"/>
          <w:szCs w:val="28"/>
        </w:rPr>
      </w:pPr>
    </w:p>
    <w:p>
      <w:pPr>
        <w:adjustRightInd w:val="0"/>
        <w:snapToGrid w:val="0"/>
        <w:spacing w:line="366" w:lineRule="exact"/>
        <w:ind w:firstLine="566" w:firstLineChars="200"/>
        <w:rPr>
          <w:rFonts w:ascii="仿宋_GB2312" w:eastAsia="仿宋_GB2312"/>
          <w:sz w:val="28"/>
          <w:szCs w:val="28"/>
        </w:rPr>
      </w:pPr>
      <w:r>
        <w:rPr>
          <w:rFonts w:hint="eastAsia" w:ascii="仿宋_GB2312" w:eastAsia="仿宋_GB2312"/>
          <w:b/>
          <w:sz w:val="28"/>
          <w:szCs w:val="28"/>
        </w:rPr>
        <w:t>甲方</w:t>
      </w:r>
      <w:r>
        <w:rPr>
          <w:rFonts w:hint="eastAsia" w:ascii="仿宋_GB2312" w:eastAsia="仿宋_GB2312"/>
          <w:sz w:val="28"/>
          <w:szCs w:val="28"/>
        </w:rPr>
        <w:t xml:space="preserve">：（盖章）                  </w:t>
      </w:r>
      <w:r>
        <w:rPr>
          <w:rFonts w:hint="eastAsia" w:ascii="仿宋_GB2312" w:eastAsia="仿宋_GB2312"/>
          <w:b/>
          <w:sz w:val="28"/>
          <w:szCs w:val="28"/>
        </w:rPr>
        <w:t>乙方</w:t>
      </w:r>
      <w:r>
        <w:rPr>
          <w:rFonts w:hint="eastAsia" w:ascii="仿宋_GB2312" w:eastAsia="仿宋_GB2312"/>
          <w:sz w:val="28"/>
          <w:szCs w:val="28"/>
        </w:rPr>
        <w:t>：（盖章）:</w:t>
      </w:r>
    </w:p>
    <w:p>
      <w:pPr>
        <w:adjustRightInd w:val="0"/>
        <w:snapToGrid w:val="0"/>
        <w:spacing w:line="366" w:lineRule="exact"/>
        <w:ind w:firstLine="566" w:firstLineChars="200"/>
        <w:rPr>
          <w:rFonts w:ascii="仿宋_GB2312" w:eastAsia="仿宋_GB2312"/>
          <w:sz w:val="28"/>
          <w:szCs w:val="28"/>
        </w:rPr>
      </w:pPr>
    </w:p>
    <w:p>
      <w:pPr>
        <w:adjustRightInd w:val="0"/>
        <w:snapToGrid w:val="0"/>
        <w:spacing w:line="366" w:lineRule="exact"/>
        <w:ind w:firstLine="566" w:firstLineChars="200"/>
        <w:rPr>
          <w:rFonts w:ascii="仿宋_GB2312" w:eastAsia="仿宋_GB2312"/>
          <w:sz w:val="28"/>
          <w:szCs w:val="28"/>
        </w:rPr>
      </w:pPr>
    </w:p>
    <w:p>
      <w:pPr>
        <w:adjustRightInd w:val="0"/>
        <w:snapToGrid w:val="0"/>
        <w:spacing w:line="366" w:lineRule="exact"/>
        <w:ind w:firstLine="566" w:firstLineChars="200"/>
        <w:rPr>
          <w:rFonts w:ascii="仿宋_GB2312" w:eastAsia="仿宋_GB2312"/>
          <w:sz w:val="28"/>
          <w:szCs w:val="28"/>
        </w:rPr>
      </w:pPr>
      <w:r>
        <w:rPr>
          <w:rFonts w:hint="eastAsia" w:ascii="仿宋_GB2312" w:eastAsia="仿宋_GB2312"/>
          <w:sz w:val="28"/>
          <w:szCs w:val="28"/>
        </w:rPr>
        <w:t>法定代表人（负责人）：          法定代表人（负责人）：</w:t>
      </w:r>
    </w:p>
    <w:p>
      <w:pPr>
        <w:adjustRightInd w:val="0"/>
        <w:snapToGrid w:val="0"/>
        <w:spacing w:line="366" w:lineRule="exact"/>
        <w:ind w:firstLine="566" w:firstLineChars="200"/>
        <w:rPr>
          <w:rFonts w:ascii="仿宋_GB2312" w:eastAsia="仿宋_GB2312"/>
          <w:sz w:val="28"/>
          <w:szCs w:val="28"/>
        </w:rPr>
      </w:pPr>
      <w:r>
        <w:rPr>
          <w:rFonts w:hint="eastAsia" w:ascii="仿宋_GB2312" w:eastAsia="仿宋_GB2312"/>
          <w:sz w:val="28"/>
          <w:szCs w:val="28"/>
        </w:rPr>
        <w:t>或委托代理人                   或委托代理人</w:t>
      </w:r>
    </w:p>
    <w:p>
      <w:pPr>
        <w:adjustRightInd w:val="0"/>
        <w:snapToGrid w:val="0"/>
        <w:spacing w:line="366" w:lineRule="exact"/>
        <w:ind w:firstLine="566" w:firstLineChars="200"/>
        <w:rPr>
          <w:rFonts w:ascii="仿宋_GB2312" w:eastAsia="仿宋_GB2312"/>
          <w:sz w:val="28"/>
          <w:szCs w:val="28"/>
        </w:rPr>
      </w:pPr>
      <w:r>
        <w:rPr>
          <w:rFonts w:hint="eastAsia" w:ascii="仿宋_GB2312" w:eastAsia="仿宋_GB2312"/>
          <w:sz w:val="28"/>
          <w:szCs w:val="28"/>
        </w:rPr>
        <w:t>(签字)                         (签字)</w:t>
      </w:r>
    </w:p>
    <w:p>
      <w:pPr>
        <w:adjustRightInd w:val="0"/>
        <w:snapToGrid w:val="0"/>
        <w:spacing w:line="366" w:lineRule="exact"/>
        <w:ind w:firstLine="566" w:firstLineChars="200"/>
        <w:rPr>
          <w:rFonts w:ascii="仿宋_GB2312" w:eastAsia="仿宋_GB2312"/>
          <w:sz w:val="28"/>
          <w:szCs w:val="28"/>
        </w:rPr>
      </w:pPr>
    </w:p>
    <w:p>
      <w:pPr>
        <w:adjustRightInd w:val="0"/>
        <w:snapToGrid w:val="0"/>
        <w:spacing w:line="366" w:lineRule="exact"/>
        <w:ind w:firstLine="566" w:firstLineChars="200"/>
        <w:rPr>
          <w:rFonts w:ascii="仿宋_GB2312" w:eastAsia="仿宋_GB2312"/>
          <w:sz w:val="28"/>
          <w:szCs w:val="28"/>
        </w:rPr>
      </w:pPr>
      <w:r>
        <w:rPr>
          <w:rFonts w:hint="eastAsia" w:ascii="仿宋_GB2312" w:eastAsia="仿宋_GB2312"/>
          <w:sz w:val="28"/>
          <w:szCs w:val="28"/>
        </w:rPr>
        <w:t>联系电话:                      联系电话:</w:t>
      </w:r>
    </w:p>
    <w:p>
      <w:pPr>
        <w:autoSpaceDE w:val="0"/>
        <w:autoSpaceDN w:val="0"/>
        <w:adjustRightInd w:val="0"/>
        <w:snapToGrid w:val="0"/>
        <w:spacing w:line="366" w:lineRule="exact"/>
        <w:ind w:firstLine="1132" w:firstLineChars="400"/>
        <w:rPr>
          <w:rFonts w:ascii="仿宋_GB2312" w:eastAsia="仿宋_GB2312"/>
          <w:sz w:val="28"/>
          <w:szCs w:val="28"/>
        </w:rPr>
      </w:pPr>
    </w:p>
    <w:p>
      <w:pPr>
        <w:autoSpaceDE w:val="0"/>
        <w:autoSpaceDN w:val="0"/>
        <w:adjustRightInd w:val="0"/>
        <w:snapToGrid w:val="0"/>
        <w:spacing w:line="366" w:lineRule="exact"/>
        <w:ind w:firstLine="1132" w:firstLineChars="400"/>
        <w:rPr>
          <w:rFonts w:ascii="仿宋_GB2312" w:eastAsia="仿宋_GB2312"/>
          <w:sz w:val="28"/>
          <w:szCs w:val="28"/>
        </w:rPr>
      </w:pPr>
      <w:r>
        <w:rPr>
          <w:rFonts w:hint="eastAsia" w:ascii="仿宋_GB2312" w:eastAsia="仿宋_GB2312"/>
          <w:sz w:val="28"/>
          <w:szCs w:val="28"/>
        </w:rPr>
        <w:t>年  月  日                     年  月  日</w:t>
      </w:r>
    </w:p>
    <w:p>
      <w:pPr>
        <w:autoSpaceDE w:val="0"/>
        <w:autoSpaceDN w:val="0"/>
        <w:adjustRightInd w:val="0"/>
        <w:spacing w:line="366" w:lineRule="exact"/>
        <w:ind w:firstLine="566" w:firstLineChars="200"/>
        <w:rPr>
          <w:rFonts w:ascii="仿宋_GB2312" w:eastAsia="仿宋_GB2312" w:cs="仿宋_GB2312"/>
          <w:color w:val="000000"/>
          <w:sz w:val="28"/>
          <w:szCs w:val="28"/>
          <w:lang w:val="zh-CN"/>
        </w:rPr>
      </w:pPr>
    </w:p>
    <w:sectPr>
      <w:headerReference r:id="rId3" w:type="default"/>
      <w:footerReference r:id="rId4" w:type="default"/>
      <w:footerReference r:id="rId5" w:type="even"/>
      <w:pgSz w:w="11906" w:h="16838"/>
      <w:pgMar w:top="2098" w:right="1474" w:bottom="1985" w:left="1588" w:header="851" w:footer="1021" w:gutter="0"/>
      <w:cols w:space="720" w:num="1"/>
      <w:docGrid w:type="linesAndChars" w:linePitch="595" w:charSpace="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oNotHyphenateCaps/>
  <w:drawingGridHorizontalSpacing w:val="107"/>
  <w:drawingGridVerticalSpacing w:val="595"/>
  <w:displayHorizontalDrawingGridEvery w:val="0"/>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94"/>
    <w:rsid w:val="00001793"/>
    <w:rsid w:val="000017E2"/>
    <w:rsid w:val="000035C6"/>
    <w:rsid w:val="00005247"/>
    <w:rsid w:val="00005D22"/>
    <w:rsid w:val="00006778"/>
    <w:rsid w:val="0000771C"/>
    <w:rsid w:val="00010836"/>
    <w:rsid w:val="000129EA"/>
    <w:rsid w:val="000159FD"/>
    <w:rsid w:val="000160BF"/>
    <w:rsid w:val="000219E1"/>
    <w:rsid w:val="000224F9"/>
    <w:rsid w:val="00024095"/>
    <w:rsid w:val="00025C74"/>
    <w:rsid w:val="00031F62"/>
    <w:rsid w:val="00034283"/>
    <w:rsid w:val="00034D7F"/>
    <w:rsid w:val="00035B85"/>
    <w:rsid w:val="00041F60"/>
    <w:rsid w:val="0004280E"/>
    <w:rsid w:val="00043718"/>
    <w:rsid w:val="00044576"/>
    <w:rsid w:val="00044818"/>
    <w:rsid w:val="00045101"/>
    <w:rsid w:val="00045456"/>
    <w:rsid w:val="000458A2"/>
    <w:rsid w:val="00045D7C"/>
    <w:rsid w:val="00047784"/>
    <w:rsid w:val="00050D9D"/>
    <w:rsid w:val="00051A1B"/>
    <w:rsid w:val="000522EC"/>
    <w:rsid w:val="00054CCA"/>
    <w:rsid w:val="00055818"/>
    <w:rsid w:val="000569EF"/>
    <w:rsid w:val="00061118"/>
    <w:rsid w:val="00062A2C"/>
    <w:rsid w:val="000669D6"/>
    <w:rsid w:val="000700DD"/>
    <w:rsid w:val="00071713"/>
    <w:rsid w:val="00073FDF"/>
    <w:rsid w:val="000746A8"/>
    <w:rsid w:val="000761D3"/>
    <w:rsid w:val="00080283"/>
    <w:rsid w:val="00080899"/>
    <w:rsid w:val="000821BD"/>
    <w:rsid w:val="0008537F"/>
    <w:rsid w:val="000853BD"/>
    <w:rsid w:val="000871CE"/>
    <w:rsid w:val="00087BB4"/>
    <w:rsid w:val="00090687"/>
    <w:rsid w:val="00091D67"/>
    <w:rsid w:val="000962E1"/>
    <w:rsid w:val="000A0DD2"/>
    <w:rsid w:val="000A1384"/>
    <w:rsid w:val="000A1CD1"/>
    <w:rsid w:val="000A2F00"/>
    <w:rsid w:val="000A7FD0"/>
    <w:rsid w:val="000B2C17"/>
    <w:rsid w:val="000B3D55"/>
    <w:rsid w:val="000B4336"/>
    <w:rsid w:val="000B62BB"/>
    <w:rsid w:val="000B6DA8"/>
    <w:rsid w:val="000B74CB"/>
    <w:rsid w:val="000B7826"/>
    <w:rsid w:val="000C0338"/>
    <w:rsid w:val="000C1FD4"/>
    <w:rsid w:val="000C2DFA"/>
    <w:rsid w:val="000C4958"/>
    <w:rsid w:val="000C4EA0"/>
    <w:rsid w:val="000C75D2"/>
    <w:rsid w:val="000C7DB0"/>
    <w:rsid w:val="000D0088"/>
    <w:rsid w:val="000D5292"/>
    <w:rsid w:val="000D5D78"/>
    <w:rsid w:val="000D665A"/>
    <w:rsid w:val="000D7850"/>
    <w:rsid w:val="000E3B03"/>
    <w:rsid w:val="000E77F1"/>
    <w:rsid w:val="000F01A0"/>
    <w:rsid w:val="000F080B"/>
    <w:rsid w:val="000F205D"/>
    <w:rsid w:val="000F5B4E"/>
    <w:rsid w:val="000F641B"/>
    <w:rsid w:val="000F6899"/>
    <w:rsid w:val="000F6967"/>
    <w:rsid w:val="00101F52"/>
    <w:rsid w:val="001023B3"/>
    <w:rsid w:val="0010273E"/>
    <w:rsid w:val="00102D61"/>
    <w:rsid w:val="00102F22"/>
    <w:rsid w:val="0010432A"/>
    <w:rsid w:val="001068D2"/>
    <w:rsid w:val="001105CD"/>
    <w:rsid w:val="00110A4F"/>
    <w:rsid w:val="00115403"/>
    <w:rsid w:val="0011639D"/>
    <w:rsid w:val="0011791B"/>
    <w:rsid w:val="00117E9F"/>
    <w:rsid w:val="00120A5A"/>
    <w:rsid w:val="00120D91"/>
    <w:rsid w:val="00121B3A"/>
    <w:rsid w:val="00122344"/>
    <w:rsid w:val="00123B69"/>
    <w:rsid w:val="00125B88"/>
    <w:rsid w:val="001277E0"/>
    <w:rsid w:val="001315FE"/>
    <w:rsid w:val="0013175E"/>
    <w:rsid w:val="00134419"/>
    <w:rsid w:val="001360EB"/>
    <w:rsid w:val="00141906"/>
    <w:rsid w:val="00141B4E"/>
    <w:rsid w:val="001420DD"/>
    <w:rsid w:val="0014279A"/>
    <w:rsid w:val="00142879"/>
    <w:rsid w:val="00147A57"/>
    <w:rsid w:val="00150D24"/>
    <w:rsid w:val="0015258D"/>
    <w:rsid w:val="001530B4"/>
    <w:rsid w:val="00153220"/>
    <w:rsid w:val="00153C4C"/>
    <w:rsid w:val="0015431B"/>
    <w:rsid w:val="001544A0"/>
    <w:rsid w:val="00156B0F"/>
    <w:rsid w:val="00156E07"/>
    <w:rsid w:val="0016153D"/>
    <w:rsid w:val="00162AA4"/>
    <w:rsid w:val="001637F8"/>
    <w:rsid w:val="00167221"/>
    <w:rsid w:val="00170170"/>
    <w:rsid w:val="00170761"/>
    <w:rsid w:val="001713FB"/>
    <w:rsid w:val="00171F14"/>
    <w:rsid w:val="00172C24"/>
    <w:rsid w:val="00174A0E"/>
    <w:rsid w:val="00175AFC"/>
    <w:rsid w:val="00175CE2"/>
    <w:rsid w:val="00177732"/>
    <w:rsid w:val="00177E6C"/>
    <w:rsid w:val="0018076E"/>
    <w:rsid w:val="00181559"/>
    <w:rsid w:val="001816ED"/>
    <w:rsid w:val="0018213B"/>
    <w:rsid w:val="00182E8A"/>
    <w:rsid w:val="00184A5A"/>
    <w:rsid w:val="001863E3"/>
    <w:rsid w:val="001873D5"/>
    <w:rsid w:val="001902B5"/>
    <w:rsid w:val="00191F48"/>
    <w:rsid w:val="0019205D"/>
    <w:rsid w:val="00192381"/>
    <w:rsid w:val="00193CD8"/>
    <w:rsid w:val="00195150"/>
    <w:rsid w:val="00195C61"/>
    <w:rsid w:val="001966CC"/>
    <w:rsid w:val="001971F4"/>
    <w:rsid w:val="001A23DA"/>
    <w:rsid w:val="001A26B1"/>
    <w:rsid w:val="001A3AEF"/>
    <w:rsid w:val="001A41C7"/>
    <w:rsid w:val="001A5E73"/>
    <w:rsid w:val="001A604D"/>
    <w:rsid w:val="001A6C36"/>
    <w:rsid w:val="001A7700"/>
    <w:rsid w:val="001A7CA4"/>
    <w:rsid w:val="001A7D61"/>
    <w:rsid w:val="001A7D67"/>
    <w:rsid w:val="001A7E51"/>
    <w:rsid w:val="001B041D"/>
    <w:rsid w:val="001B2128"/>
    <w:rsid w:val="001B2A27"/>
    <w:rsid w:val="001B42F6"/>
    <w:rsid w:val="001B4350"/>
    <w:rsid w:val="001B4F1F"/>
    <w:rsid w:val="001C068B"/>
    <w:rsid w:val="001C1016"/>
    <w:rsid w:val="001C1300"/>
    <w:rsid w:val="001C1D92"/>
    <w:rsid w:val="001C24AD"/>
    <w:rsid w:val="001C353A"/>
    <w:rsid w:val="001C4F94"/>
    <w:rsid w:val="001C5047"/>
    <w:rsid w:val="001C6D26"/>
    <w:rsid w:val="001D06DC"/>
    <w:rsid w:val="001D12BE"/>
    <w:rsid w:val="001D3D8F"/>
    <w:rsid w:val="001D5191"/>
    <w:rsid w:val="001D59BF"/>
    <w:rsid w:val="001E06E5"/>
    <w:rsid w:val="001E1590"/>
    <w:rsid w:val="001E489C"/>
    <w:rsid w:val="001E7DEC"/>
    <w:rsid w:val="001F377E"/>
    <w:rsid w:val="001F3BA8"/>
    <w:rsid w:val="001F3F57"/>
    <w:rsid w:val="001F4808"/>
    <w:rsid w:val="001F52B8"/>
    <w:rsid w:val="001F581B"/>
    <w:rsid w:val="001F638E"/>
    <w:rsid w:val="001F6C86"/>
    <w:rsid w:val="00201C0C"/>
    <w:rsid w:val="00203BFE"/>
    <w:rsid w:val="0020448D"/>
    <w:rsid w:val="00204920"/>
    <w:rsid w:val="00205EA5"/>
    <w:rsid w:val="002069F9"/>
    <w:rsid w:val="00206F7D"/>
    <w:rsid w:val="002105AF"/>
    <w:rsid w:val="00211058"/>
    <w:rsid w:val="002135AC"/>
    <w:rsid w:val="00216BB0"/>
    <w:rsid w:val="00216D27"/>
    <w:rsid w:val="002201B4"/>
    <w:rsid w:val="00220607"/>
    <w:rsid w:val="002237CC"/>
    <w:rsid w:val="00223F26"/>
    <w:rsid w:val="00226D1E"/>
    <w:rsid w:val="00230553"/>
    <w:rsid w:val="00230ACB"/>
    <w:rsid w:val="00230AE4"/>
    <w:rsid w:val="00232DDA"/>
    <w:rsid w:val="00233A47"/>
    <w:rsid w:val="002345A6"/>
    <w:rsid w:val="0023480A"/>
    <w:rsid w:val="00234F24"/>
    <w:rsid w:val="0023587F"/>
    <w:rsid w:val="00235CF4"/>
    <w:rsid w:val="00236B07"/>
    <w:rsid w:val="00236B5F"/>
    <w:rsid w:val="00237120"/>
    <w:rsid w:val="00237A87"/>
    <w:rsid w:val="00241CEB"/>
    <w:rsid w:val="00241DED"/>
    <w:rsid w:val="00242EB3"/>
    <w:rsid w:val="00244E27"/>
    <w:rsid w:val="00245375"/>
    <w:rsid w:val="002513B5"/>
    <w:rsid w:val="002518E1"/>
    <w:rsid w:val="00253AF6"/>
    <w:rsid w:val="00255D39"/>
    <w:rsid w:val="002611F4"/>
    <w:rsid w:val="002617D9"/>
    <w:rsid w:val="00262825"/>
    <w:rsid w:val="00264F69"/>
    <w:rsid w:val="00265776"/>
    <w:rsid w:val="00266FE1"/>
    <w:rsid w:val="00267F66"/>
    <w:rsid w:val="00270169"/>
    <w:rsid w:val="00270338"/>
    <w:rsid w:val="002704BB"/>
    <w:rsid w:val="002739A2"/>
    <w:rsid w:val="00283EE4"/>
    <w:rsid w:val="00284034"/>
    <w:rsid w:val="00284B05"/>
    <w:rsid w:val="00285039"/>
    <w:rsid w:val="002872AD"/>
    <w:rsid w:val="00290F02"/>
    <w:rsid w:val="00292455"/>
    <w:rsid w:val="0029289A"/>
    <w:rsid w:val="00293B4F"/>
    <w:rsid w:val="00293BD0"/>
    <w:rsid w:val="00294F27"/>
    <w:rsid w:val="00297D5F"/>
    <w:rsid w:val="002A1576"/>
    <w:rsid w:val="002A15FE"/>
    <w:rsid w:val="002A1F37"/>
    <w:rsid w:val="002A2118"/>
    <w:rsid w:val="002A2487"/>
    <w:rsid w:val="002A2A7C"/>
    <w:rsid w:val="002A4C19"/>
    <w:rsid w:val="002A4FC3"/>
    <w:rsid w:val="002A61E3"/>
    <w:rsid w:val="002A7151"/>
    <w:rsid w:val="002A71DF"/>
    <w:rsid w:val="002A766A"/>
    <w:rsid w:val="002B2196"/>
    <w:rsid w:val="002B2438"/>
    <w:rsid w:val="002B2D20"/>
    <w:rsid w:val="002B3179"/>
    <w:rsid w:val="002B3355"/>
    <w:rsid w:val="002B367B"/>
    <w:rsid w:val="002B3951"/>
    <w:rsid w:val="002B5420"/>
    <w:rsid w:val="002B6EB0"/>
    <w:rsid w:val="002B75F2"/>
    <w:rsid w:val="002C0A9F"/>
    <w:rsid w:val="002C1470"/>
    <w:rsid w:val="002C266A"/>
    <w:rsid w:val="002C6F2A"/>
    <w:rsid w:val="002D096A"/>
    <w:rsid w:val="002D14D5"/>
    <w:rsid w:val="002D16B2"/>
    <w:rsid w:val="002D216D"/>
    <w:rsid w:val="002D2833"/>
    <w:rsid w:val="002D2F5A"/>
    <w:rsid w:val="002D3E49"/>
    <w:rsid w:val="002D5B78"/>
    <w:rsid w:val="002D5CE8"/>
    <w:rsid w:val="002D7D92"/>
    <w:rsid w:val="002E06B3"/>
    <w:rsid w:val="002E20FD"/>
    <w:rsid w:val="002E2297"/>
    <w:rsid w:val="002E33B9"/>
    <w:rsid w:val="002E3A76"/>
    <w:rsid w:val="002E3B11"/>
    <w:rsid w:val="002E49CB"/>
    <w:rsid w:val="002E52F6"/>
    <w:rsid w:val="002F26DB"/>
    <w:rsid w:val="002F3E49"/>
    <w:rsid w:val="002F4482"/>
    <w:rsid w:val="002F4536"/>
    <w:rsid w:val="002F5231"/>
    <w:rsid w:val="002F5605"/>
    <w:rsid w:val="002F684C"/>
    <w:rsid w:val="003027C4"/>
    <w:rsid w:val="00306C8E"/>
    <w:rsid w:val="00307CC3"/>
    <w:rsid w:val="00310D11"/>
    <w:rsid w:val="0031142F"/>
    <w:rsid w:val="00311F60"/>
    <w:rsid w:val="003120C6"/>
    <w:rsid w:val="003154B9"/>
    <w:rsid w:val="00317062"/>
    <w:rsid w:val="003174BC"/>
    <w:rsid w:val="00317AFB"/>
    <w:rsid w:val="00317C1A"/>
    <w:rsid w:val="003219C6"/>
    <w:rsid w:val="00322903"/>
    <w:rsid w:val="00322A66"/>
    <w:rsid w:val="003233C1"/>
    <w:rsid w:val="003255DC"/>
    <w:rsid w:val="003324F2"/>
    <w:rsid w:val="00333A05"/>
    <w:rsid w:val="003354C8"/>
    <w:rsid w:val="003366F9"/>
    <w:rsid w:val="00341831"/>
    <w:rsid w:val="00341941"/>
    <w:rsid w:val="00342E07"/>
    <w:rsid w:val="0034618C"/>
    <w:rsid w:val="003544D0"/>
    <w:rsid w:val="00354863"/>
    <w:rsid w:val="003558B5"/>
    <w:rsid w:val="00356172"/>
    <w:rsid w:val="003561DC"/>
    <w:rsid w:val="00357EAC"/>
    <w:rsid w:val="00361C88"/>
    <w:rsid w:val="00361E9C"/>
    <w:rsid w:val="00363783"/>
    <w:rsid w:val="00364816"/>
    <w:rsid w:val="00365CE0"/>
    <w:rsid w:val="00370216"/>
    <w:rsid w:val="00370284"/>
    <w:rsid w:val="00370BDD"/>
    <w:rsid w:val="00372BC0"/>
    <w:rsid w:val="003742CF"/>
    <w:rsid w:val="00375679"/>
    <w:rsid w:val="00376008"/>
    <w:rsid w:val="0037634A"/>
    <w:rsid w:val="003764FE"/>
    <w:rsid w:val="003765EB"/>
    <w:rsid w:val="00377438"/>
    <w:rsid w:val="0038135E"/>
    <w:rsid w:val="00381E56"/>
    <w:rsid w:val="00382277"/>
    <w:rsid w:val="003829D7"/>
    <w:rsid w:val="00384C10"/>
    <w:rsid w:val="00384D1B"/>
    <w:rsid w:val="003852A1"/>
    <w:rsid w:val="003855F5"/>
    <w:rsid w:val="00386F69"/>
    <w:rsid w:val="00390AC3"/>
    <w:rsid w:val="00390C01"/>
    <w:rsid w:val="00393592"/>
    <w:rsid w:val="00393F93"/>
    <w:rsid w:val="003948AB"/>
    <w:rsid w:val="0039595A"/>
    <w:rsid w:val="00396084"/>
    <w:rsid w:val="003961D8"/>
    <w:rsid w:val="00396FD8"/>
    <w:rsid w:val="00397566"/>
    <w:rsid w:val="003A0AA6"/>
    <w:rsid w:val="003A0FA4"/>
    <w:rsid w:val="003A4D73"/>
    <w:rsid w:val="003A4EB9"/>
    <w:rsid w:val="003A51CA"/>
    <w:rsid w:val="003A6272"/>
    <w:rsid w:val="003A78E7"/>
    <w:rsid w:val="003B1A76"/>
    <w:rsid w:val="003B4F97"/>
    <w:rsid w:val="003B51AF"/>
    <w:rsid w:val="003B572F"/>
    <w:rsid w:val="003B5A38"/>
    <w:rsid w:val="003B7662"/>
    <w:rsid w:val="003B7E0E"/>
    <w:rsid w:val="003C1B00"/>
    <w:rsid w:val="003C24D7"/>
    <w:rsid w:val="003C25C2"/>
    <w:rsid w:val="003C5113"/>
    <w:rsid w:val="003C6FBA"/>
    <w:rsid w:val="003D0456"/>
    <w:rsid w:val="003D2490"/>
    <w:rsid w:val="003D36AC"/>
    <w:rsid w:val="003D387C"/>
    <w:rsid w:val="003D52BF"/>
    <w:rsid w:val="003D56B6"/>
    <w:rsid w:val="003D6EBC"/>
    <w:rsid w:val="003E04C1"/>
    <w:rsid w:val="003E0AD5"/>
    <w:rsid w:val="003E1120"/>
    <w:rsid w:val="003E31B1"/>
    <w:rsid w:val="003E498D"/>
    <w:rsid w:val="003E73CD"/>
    <w:rsid w:val="003F1E1F"/>
    <w:rsid w:val="003F3F1C"/>
    <w:rsid w:val="003F574B"/>
    <w:rsid w:val="003F5AFF"/>
    <w:rsid w:val="003F673F"/>
    <w:rsid w:val="004010EC"/>
    <w:rsid w:val="00401F78"/>
    <w:rsid w:val="00402D03"/>
    <w:rsid w:val="004047A1"/>
    <w:rsid w:val="00405B2A"/>
    <w:rsid w:val="0040640C"/>
    <w:rsid w:val="00411A83"/>
    <w:rsid w:val="00411CE4"/>
    <w:rsid w:val="00413E2E"/>
    <w:rsid w:val="00415345"/>
    <w:rsid w:val="0041706B"/>
    <w:rsid w:val="00417EE1"/>
    <w:rsid w:val="00420822"/>
    <w:rsid w:val="00420EE9"/>
    <w:rsid w:val="00427D33"/>
    <w:rsid w:val="00430640"/>
    <w:rsid w:val="00433532"/>
    <w:rsid w:val="00433C39"/>
    <w:rsid w:val="004341D0"/>
    <w:rsid w:val="00435468"/>
    <w:rsid w:val="00440C39"/>
    <w:rsid w:val="00441C54"/>
    <w:rsid w:val="00450F39"/>
    <w:rsid w:val="004517F5"/>
    <w:rsid w:val="00451CA6"/>
    <w:rsid w:val="004522B0"/>
    <w:rsid w:val="004522F8"/>
    <w:rsid w:val="0045306C"/>
    <w:rsid w:val="00453B91"/>
    <w:rsid w:val="0045428E"/>
    <w:rsid w:val="00454EAA"/>
    <w:rsid w:val="004564FB"/>
    <w:rsid w:val="00456574"/>
    <w:rsid w:val="00456795"/>
    <w:rsid w:val="004568DA"/>
    <w:rsid w:val="004616E9"/>
    <w:rsid w:val="00461B66"/>
    <w:rsid w:val="00461F80"/>
    <w:rsid w:val="00462BB8"/>
    <w:rsid w:val="00463285"/>
    <w:rsid w:val="004638B0"/>
    <w:rsid w:val="00463D40"/>
    <w:rsid w:val="00464976"/>
    <w:rsid w:val="00464F51"/>
    <w:rsid w:val="00465AEE"/>
    <w:rsid w:val="00466CCA"/>
    <w:rsid w:val="004675E1"/>
    <w:rsid w:val="00470FAA"/>
    <w:rsid w:val="00471652"/>
    <w:rsid w:val="00474203"/>
    <w:rsid w:val="004743BE"/>
    <w:rsid w:val="004753B2"/>
    <w:rsid w:val="00480E22"/>
    <w:rsid w:val="004819CE"/>
    <w:rsid w:val="00482279"/>
    <w:rsid w:val="004827D7"/>
    <w:rsid w:val="00483151"/>
    <w:rsid w:val="004856BE"/>
    <w:rsid w:val="00485785"/>
    <w:rsid w:val="00491038"/>
    <w:rsid w:val="00492145"/>
    <w:rsid w:val="00492E11"/>
    <w:rsid w:val="0049364C"/>
    <w:rsid w:val="0049367F"/>
    <w:rsid w:val="00493BF6"/>
    <w:rsid w:val="00494616"/>
    <w:rsid w:val="00494E14"/>
    <w:rsid w:val="004966D1"/>
    <w:rsid w:val="004A069C"/>
    <w:rsid w:val="004A21FA"/>
    <w:rsid w:val="004A3E12"/>
    <w:rsid w:val="004A3E4E"/>
    <w:rsid w:val="004A54D1"/>
    <w:rsid w:val="004A6757"/>
    <w:rsid w:val="004B02D8"/>
    <w:rsid w:val="004B0F20"/>
    <w:rsid w:val="004B169F"/>
    <w:rsid w:val="004B1C77"/>
    <w:rsid w:val="004B378A"/>
    <w:rsid w:val="004B3DA8"/>
    <w:rsid w:val="004B493C"/>
    <w:rsid w:val="004B55C4"/>
    <w:rsid w:val="004B5F31"/>
    <w:rsid w:val="004B6356"/>
    <w:rsid w:val="004B6972"/>
    <w:rsid w:val="004B6E46"/>
    <w:rsid w:val="004B6E56"/>
    <w:rsid w:val="004B740D"/>
    <w:rsid w:val="004B7F2B"/>
    <w:rsid w:val="004B7FEA"/>
    <w:rsid w:val="004C1B97"/>
    <w:rsid w:val="004C1D30"/>
    <w:rsid w:val="004C1E27"/>
    <w:rsid w:val="004C278A"/>
    <w:rsid w:val="004C2DD4"/>
    <w:rsid w:val="004C2F70"/>
    <w:rsid w:val="004C2F7D"/>
    <w:rsid w:val="004C45D4"/>
    <w:rsid w:val="004C4897"/>
    <w:rsid w:val="004C5B8A"/>
    <w:rsid w:val="004C6A3B"/>
    <w:rsid w:val="004C6FEA"/>
    <w:rsid w:val="004D1DD0"/>
    <w:rsid w:val="004D5E89"/>
    <w:rsid w:val="004D67E1"/>
    <w:rsid w:val="004D6C17"/>
    <w:rsid w:val="004E0532"/>
    <w:rsid w:val="004E06DC"/>
    <w:rsid w:val="004E2A9B"/>
    <w:rsid w:val="004E3F1F"/>
    <w:rsid w:val="004E6AC2"/>
    <w:rsid w:val="004E7279"/>
    <w:rsid w:val="004E74E8"/>
    <w:rsid w:val="004E79C4"/>
    <w:rsid w:val="004F0AA6"/>
    <w:rsid w:val="004F30F5"/>
    <w:rsid w:val="004F31A1"/>
    <w:rsid w:val="004F6BDA"/>
    <w:rsid w:val="0050197F"/>
    <w:rsid w:val="00502D88"/>
    <w:rsid w:val="00503531"/>
    <w:rsid w:val="0050397F"/>
    <w:rsid w:val="00507547"/>
    <w:rsid w:val="005077F0"/>
    <w:rsid w:val="005102B7"/>
    <w:rsid w:val="005105BD"/>
    <w:rsid w:val="00510BC4"/>
    <w:rsid w:val="005120D2"/>
    <w:rsid w:val="0051268D"/>
    <w:rsid w:val="00512BF8"/>
    <w:rsid w:val="00513D43"/>
    <w:rsid w:val="00513E41"/>
    <w:rsid w:val="00514A01"/>
    <w:rsid w:val="00515180"/>
    <w:rsid w:val="00515E27"/>
    <w:rsid w:val="0051703A"/>
    <w:rsid w:val="005200C7"/>
    <w:rsid w:val="005216D0"/>
    <w:rsid w:val="005226E2"/>
    <w:rsid w:val="005229F7"/>
    <w:rsid w:val="00522D9D"/>
    <w:rsid w:val="00523490"/>
    <w:rsid w:val="00523ECA"/>
    <w:rsid w:val="005247D3"/>
    <w:rsid w:val="0052500C"/>
    <w:rsid w:val="005250FE"/>
    <w:rsid w:val="005256A2"/>
    <w:rsid w:val="00527D84"/>
    <w:rsid w:val="0053034B"/>
    <w:rsid w:val="0053052E"/>
    <w:rsid w:val="00531969"/>
    <w:rsid w:val="00532831"/>
    <w:rsid w:val="005329EC"/>
    <w:rsid w:val="00532B61"/>
    <w:rsid w:val="00532E3F"/>
    <w:rsid w:val="00536656"/>
    <w:rsid w:val="00536C2C"/>
    <w:rsid w:val="00536F00"/>
    <w:rsid w:val="00544147"/>
    <w:rsid w:val="005444A6"/>
    <w:rsid w:val="00544899"/>
    <w:rsid w:val="005454FB"/>
    <w:rsid w:val="005478DD"/>
    <w:rsid w:val="00550121"/>
    <w:rsid w:val="00552E96"/>
    <w:rsid w:val="0055330A"/>
    <w:rsid w:val="005559B6"/>
    <w:rsid w:val="005572AE"/>
    <w:rsid w:val="00563598"/>
    <w:rsid w:val="005639A0"/>
    <w:rsid w:val="00566242"/>
    <w:rsid w:val="00570C8E"/>
    <w:rsid w:val="00571306"/>
    <w:rsid w:val="005719F6"/>
    <w:rsid w:val="00571D4E"/>
    <w:rsid w:val="00572A47"/>
    <w:rsid w:val="005755A7"/>
    <w:rsid w:val="0057609C"/>
    <w:rsid w:val="005803DD"/>
    <w:rsid w:val="00583066"/>
    <w:rsid w:val="005833B0"/>
    <w:rsid w:val="005837FD"/>
    <w:rsid w:val="00584AB3"/>
    <w:rsid w:val="00585B03"/>
    <w:rsid w:val="00586045"/>
    <w:rsid w:val="00586FF7"/>
    <w:rsid w:val="00587605"/>
    <w:rsid w:val="00590871"/>
    <w:rsid w:val="00591E62"/>
    <w:rsid w:val="0059219E"/>
    <w:rsid w:val="005931D5"/>
    <w:rsid w:val="00593F73"/>
    <w:rsid w:val="0059449B"/>
    <w:rsid w:val="00594995"/>
    <w:rsid w:val="00595040"/>
    <w:rsid w:val="005A0BF3"/>
    <w:rsid w:val="005A1E63"/>
    <w:rsid w:val="005A3836"/>
    <w:rsid w:val="005A541F"/>
    <w:rsid w:val="005A5484"/>
    <w:rsid w:val="005A58E9"/>
    <w:rsid w:val="005A6A48"/>
    <w:rsid w:val="005A74F3"/>
    <w:rsid w:val="005B0526"/>
    <w:rsid w:val="005B1E46"/>
    <w:rsid w:val="005B224A"/>
    <w:rsid w:val="005B356E"/>
    <w:rsid w:val="005B4BBB"/>
    <w:rsid w:val="005B7D7B"/>
    <w:rsid w:val="005C1C15"/>
    <w:rsid w:val="005C1C33"/>
    <w:rsid w:val="005C22CA"/>
    <w:rsid w:val="005C26B7"/>
    <w:rsid w:val="005C38BE"/>
    <w:rsid w:val="005C4723"/>
    <w:rsid w:val="005C48A1"/>
    <w:rsid w:val="005C50D2"/>
    <w:rsid w:val="005C54B2"/>
    <w:rsid w:val="005C574A"/>
    <w:rsid w:val="005C5978"/>
    <w:rsid w:val="005C65B0"/>
    <w:rsid w:val="005C7934"/>
    <w:rsid w:val="005D03B9"/>
    <w:rsid w:val="005D1B37"/>
    <w:rsid w:val="005D33CD"/>
    <w:rsid w:val="005D3D6D"/>
    <w:rsid w:val="005D59A7"/>
    <w:rsid w:val="005D6A15"/>
    <w:rsid w:val="005D70E6"/>
    <w:rsid w:val="005E1F40"/>
    <w:rsid w:val="005E27C3"/>
    <w:rsid w:val="005E2CEE"/>
    <w:rsid w:val="005E2E73"/>
    <w:rsid w:val="005E353F"/>
    <w:rsid w:val="005E3F42"/>
    <w:rsid w:val="005E5152"/>
    <w:rsid w:val="005E5154"/>
    <w:rsid w:val="005E60C0"/>
    <w:rsid w:val="005F060D"/>
    <w:rsid w:val="005F1898"/>
    <w:rsid w:val="005F223A"/>
    <w:rsid w:val="005F3057"/>
    <w:rsid w:val="005F41DF"/>
    <w:rsid w:val="005F7E4A"/>
    <w:rsid w:val="00601417"/>
    <w:rsid w:val="006015AF"/>
    <w:rsid w:val="00601E7D"/>
    <w:rsid w:val="00602A5F"/>
    <w:rsid w:val="00602ACA"/>
    <w:rsid w:val="00603026"/>
    <w:rsid w:val="00603678"/>
    <w:rsid w:val="00604978"/>
    <w:rsid w:val="00607630"/>
    <w:rsid w:val="0061208A"/>
    <w:rsid w:val="00613033"/>
    <w:rsid w:val="00616EE6"/>
    <w:rsid w:val="00617005"/>
    <w:rsid w:val="00621238"/>
    <w:rsid w:val="00621CFD"/>
    <w:rsid w:val="00622B7B"/>
    <w:rsid w:val="00622CD3"/>
    <w:rsid w:val="00624C60"/>
    <w:rsid w:val="006250E3"/>
    <w:rsid w:val="00625BE5"/>
    <w:rsid w:val="00626CA8"/>
    <w:rsid w:val="00626CEE"/>
    <w:rsid w:val="006277BF"/>
    <w:rsid w:val="0063071F"/>
    <w:rsid w:val="00630A0B"/>
    <w:rsid w:val="00631A75"/>
    <w:rsid w:val="00633F5C"/>
    <w:rsid w:val="0063413C"/>
    <w:rsid w:val="00634275"/>
    <w:rsid w:val="00635C50"/>
    <w:rsid w:val="006361DC"/>
    <w:rsid w:val="0063648A"/>
    <w:rsid w:val="006403AC"/>
    <w:rsid w:val="00641265"/>
    <w:rsid w:val="006415DF"/>
    <w:rsid w:val="006423DA"/>
    <w:rsid w:val="00642FE0"/>
    <w:rsid w:val="00643CFD"/>
    <w:rsid w:val="006442AB"/>
    <w:rsid w:val="00644485"/>
    <w:rsid w:val="00644702"/>
    <w:rsid w:val="00646E81"/>
    <w:rsid w:val="006508B2"/>
    <w:rsid w:val="0065235F"/>
    <w:rsid w:val="00653877"/>
    <w:rsid w:val="00653A44"/>
    <w:rsid w:val="00655AE6"/>
    <w:rsid w:val="00656D4C"/>
    <w:rsid w:val="00657E30"/>
    <w:rsid w:val="00660534"/>
    <w:rsid w:val="006606B9"/>
    <w:rsid w:val="0066105B"/>
    <w:rsid w:val="0066131D"/>
    <w:rsid w:val="00661544"/>
    <w:rsid w:val="00661994"/>
    <w:rsid w:val="006622E1"/>
    <w:rsid w:val="006627A0"/>
    <w:rsid w:val="00662C03"/>
    <w:rsid w:val="00662C3C"/>
    <w:rsid w:val="00662E6C"/>
    <w:rsid w:val="0066379C"/>
    <w:rsid w:val="00664AFB"/>
    <w:rsid w:val="00667F37"/>
    <w:rsid w:val="006701E7"/>
    <w:rsid w:val="00670361"/>
    <w:rsid w:val="006706E2"/>
    <w:rsid w:val="00670C8E"/>
    <w:rsid w:val="00672D99"/>
    <w:rsid w:val="00674922"/>
    <w:rsid w:val="006812DE"/>
    <w:rsid w:val="006814CC"/>
    <w:rsid w:val="006842A8"/>
    <w:rsid w:val="00684BA6"/>
    <w:rsid w:val="00685DA6"/>
    <w:rsid w:val="0068648E"/>
    <w:rsid w:val="00686F8B"/>
    <w:rsid w:val="00691112"/>
    <w:rsid w:val="0069276D"/>
    <w:rsid w:val="006937B9"/>
    <w:rsid w:val="00693EB6"/>
    <w:rsid w:val="006945FC"/>
    <w:rsid w:val="006959C6"/>
    <w:rsid w:val="00695A82"/>
    <w:rsid w:val="00697E79"/>
    <w:rsid w:val="006A0AC0"/>
    <w:rsid w:val="006A1198"/>
    <w:rsid w:val="006A2F09"/>
    <w:rsid w:val="006A45AE"/>
    <w:rsid w:val="006A4EFE"/>
    <w:rsid w:val="006A54BA"/>
    <w:rsid w:val="006A6CEE"/>
    <w:rsid w:val="006A6EFE"/>
    <w:rsid w:val="006B2C2E"/>
    <w:rsid w:val="006B2E36"/>
    <w:rsid w:val="006B4327"/>
    <w:rsid w:val="006B4513"/>
    <w:rsid w:val="006B45C8"/>
    <w:rsid w:val="006B6ED5"/>
    <w:rsid w:val="006B7F59"/>
    <w:rsid w:val="006C039B"/>
    <w:rsid w:val="006C1829"/>
    <w:rsid w:val="006C2579"/>
    <w:rsid w:val="006C2EFF"/>
    <w:rsid w:val="006C3C62"/>
    <w:rsid w:val="006C3D1E"/>
    <w:rsid w:val="006C3EFC"/>
    <w:rsid w:val="006C4684"/>
    <w:rsid w:val="006C6BF7"/>
    <w:rsid w:val="006C70E3"/>
    <w:rsid w:val="006C7970"/>
    <w:rsid w:val="006D568F"/>
    <w:rsid w:val="006D5A84"/>
    <w:rsid w:val="006D68FC"/>
    <w:rsid w:val="006E02E0"/>
    <w:rsid w:val="006E11E7"/>
    <w:rsid w:val="006E3414"/>
    <w:rsid w:val="006E784A"/>
    <w:rsid w:val="006F034B"/>
    <w:rsid w:val="006F0E26"/>
    <w:rsid w:val="006F31D5"/>
    <w:rsid w:val="006F3AB1"/>
    <w:rsid w:val="006F485B"/>
    <w:rsid w:val="006F52B6"/>
    <w:rsid w:val="006F59CF"/>
    <w:rsid w:val="006F637D"/>
    <w:rsid w:val="006F64F1"/>
    <w:rsid w:val="006F6AF5"/>
    <w:rsid w:val="006F706B"/>
    <w:rsid w:val="006F7BD3"/>
    <w:rsid w:val="007001D6"/>
    <w:rsid w:val="00701D84"/>
    <w:rsid w:val="0070383A"/>
    <w:rsid w:val="00703E96"/>
    <w:rsid w:val="00704CB4"/>
    <w:rsid w:val="00704E66"/>
    <w:rsid w:val="00705CCA"/>
    <w:rsid w:val="00710533"/>
    <w:rsid w:val="0071343C"/>
    <w:rsid w:val="0071351E"/>
    <w:rsid w:val="007143EA"/>
    <w:rsid w:val="00714B13"/>
    <w:rsid w:val="00716FF6"/>
    <w:rsid w:val="0071768B"/>
    <w:rsid w:val="007177D3"/>
    <w:rsid w:val="00717C32"/>
    <w:rsid w:val="00720A98"/>
    <w:rsid w:val="0072376D"/>
    <w:rsid w:val="007250C9"/>
    <w:rsid w:val="0072550D"/>
    <w:rsid w:val="0072594C"/>
    <w:rsid w:val="00732139"/>
    <w:rsid w:val="00733096"/>
    <w:rsid w:val="0073372E"/>
    <w:rsid w:val="007364CE"/>
    <w:rsid w:val="007426C8"/>
    <w:rsid w:val="00744790"/>
    <w:rsid w:val="007507CF"/>
    <w:rsid w:val="007507EC"/>
    <w:rsid w:val="00750B5E"/>
    <w:rsid w:val="0075136E"/>
    <w:rsid w:val="00751A42"/>
    <w:rsid w:val="00751C5B"/>
    <w:rsid w:val="00752D81"/>
    <w:rsid w:val="0075443E"/>
    <w:rsid w:val="00754EB7"/>
    <w:rsid w:val="007576E8"/>
    <w:rsid w:val="00760948"/>
    <w:rsid w:val="00760C20"/>
    <w:rsid w:val="007615AE"/>
    <w:rsid w:val="00762BCA"/>
    <w:rsid w:val="00762F1F"/>
    <w:rsid w:val="0076303D"/>
    <w:rsid w:val="007656E5"/>
    <w:rsid w:val="007658A8"/>
    <w:rsid w:val="0076633D"/>
    <w:rsid w:val="007672CA"/>
    <w:rsid w:val="00767766"/>
    <w:rsid w:val="007700C4"/>
    <w:rsid w:val="0077026C"/>
    <w:rsid w:val="00771054"/>
    <w:rsid w:val="00771F63"/>
    <w:rsid w:val="00780257"/>
    <w:rsid w:val="0078261F"/>
    <w:rsid w:val="00782B0B"/>
    <w:rsid w:val="00782FE4"/>
    <w:rsid w:val="00786F95"/>
    <w:rsid w:val="00787F01"/>
    <w:rsid w:val="007916E8"/>
    <w:rsid w:val="00793748"/>
    <w:rsid w:val="0079488C"/>
    <w:rsid w:val="007969FD"/>
    <w:rsid w:val="007970E4"/>
    <w:rsid w:val="007A0A74"/>
    <w:rsid w:val="007A23DA"/>
    <w:rsid w:val="007A33E7"/>
    <w:rsid w:val="007A3808"/>
    <w:rsid w:val="007A4A94"/>
    <w:rsid w:val="007A5191"/>
    <w:rsid w:val="007A716A"/>
    <w:rsid w:val="007A7C75"/>
    <w:rsid w:val="007B2A51"/>
    <w:rsid w:val="007B47F5"/>
    <w:rsid w:val="007B514F"/>
    <w:rsid w:val="007C088E"/>
    <w:rsid w:val="007C092C"/>
    <w:rsid w:val="007C09C0"/>
    <w:rsid w:val="007C2F32"/>
    <w:rsid w:val="007C369B"/>
    <w:rsid w:val="007C42A3"/>
    <w:rsid w:val="007C7113"/>
    <w:rsid w:val="007D1971"/>
    <w:rsid w:val="007D202C"/>
    <w:rsid w:val="007D50CD"/>
    <w:rsid w:val="007D51D8"/>
    <w:rsid w:val="007D5753"/>
    <w:rsid w:val="007D57D2"/>
    <w:rsid w:val="007E085C"/>
    <w:rsid w:val="007E1067"/>
    <w:rsid w:val="007E185E"/>
    <w:rsid w:val="007E225A"/>
    <w:rsid w:val="007E2CBE"/>
    <w:rsid w:val="007E2ED1"/>
    <w:rsid w:val="007E378C"/>
    <w:rsid w:val="007E3D21"/>
    <w:rsid w:val="007E5ABC"/>
    <w:rsid w:val="007E6C27"/>
    <w:rsid w:val="007E765E"/>
    <w:rsid w:val="007F1334"/>
    <w:rsid w:val="007F1E8A"/>
    <w:rsid w:val="007F2EA3"/>
    <w:rsid w:val="007F308E"/>
    <w:rsid w:val="007F68F7"/>
    <w:rsid w:val="007F7AE3"/>
    <w:rsid w:val="00801450"/>
    <w:rsid w:val="00801591"/>
    <w:rsid w:val="00802D6E"/>
    <w:rsid w:val="008035C4"/>
    <w:rsid w:val="00804DA2"/>
    <w:rsid w:val="008058E3"/>
    <w:rsid w:val="00806144"/>
    <w:rsid w:val="008064DB"/>
    <w:rsid w:val="00807D87"/>
    <w:rsid w:val="00810F68"/>
    <w:rsid w:val="00811EB7"/>
    <w:rsid w:val="00811FBE"/>
    <w:rsid w:val="0081261C"/>
    <w:rsid w:val="008126A4"/>
    <w:rsid w:val="00812F06"/>
    <w:rsid w:val="00814A2C"/>
    <w:rsid w:val="00815644"/>
    <w:rsid w:val="008168B9"/>
    <w:rsid w:val="00816A49"/>
    <w:rsid w:val="008201B9"/>
    <w:rsid w:val="00821F59"/>
    <w:rsid w:val="00822E17"/>
    <w:rsid w:val="008238AD"/>
    <w:rsid w:val="00823BC5"/>
    <w:rsid w:val="008259A2"/>
    <w:rsid w:val="00831746"/>
    <w:rsid w:val="00831EBD"/>
    <w:rsid w:val="008320E2"/>
    <w:rsid w:val="008322E9"/>
    <w:rsid w:val="00833951"/>
    <w:rsid w:val="00833EAF"/>
    <w:rsid w:val="008449A5"/>
    <w:rsid w:val="00844AF8"/>
    <w:rsid w:val="0084574B"/>
    <w:rsid w:val="00845E4F"/>
    <w:rsid w:val="008571B1"/>
    <w:rsid w:val="0085798B"/>
    <w:rsid w:val="0086008A"/>
    <w:rsid w:val="00861866"/>
    <w:rsid w:val="00861B39"/>
    <w:rsid w:val="008626DB"/>
    <w:rsid w:val="00862C41"/>
    <w:rsid w:val="00863316"/>
    <w:rsid w:val="008639AD"/>
    <w:rsid w:val="008646C6"/>
    <w:rsid w:val="0086637E"/>
    <w:rsid w:val="00866FB3"/>
    <w:rsid w:val="00867745"/>
    <w:rsid w:val="00867F1B"/>
    <w:rsid w:val="00871DCF"/>
    <w:rsid w:val="008723E7"/>
    <w:rsid w:val="00872DCF"/>
    <w:rsid w:val="008767F5"/>
    <w:rsid w:val="00880102"/>
    <w:rsid w:val="00880B31"/>
    <w:rsid w:val="00882F90"/>
    <w:rsid w:val="008834E1"/>
    <w:rsid w:val="00883FB1"/>
    <w:rsid w:val="0088557C"/>
    <w:rsid w:val="0088557D"/>
    <w:rsid w:val="008905A6"/>
    <w:rsid w:val="008948E8"/>
    <w:rsid w:val="00895E00"/>
    <w:rsid w:val="00896D89"/>
    <w:rsid w:val="00897C9C"/>
    <w:rsid w:val="008A3FF1"/>
    <w:rsid w:val="008A4D6A"/>
    <w:rsid w:val="008A4D7E"/>
    <w:rsid w:val="008A57AE"/>
    <w:rsid w:val="008A6FA2"/>
    <w:rsid w:val="008A732B"/>
    <w:rsid w:val="008B0BFB"/>
    <w:rsid w:val="008B137E"/>
    <w:rsid w:val="008B1DA6"/>
    <w:rsid w:val="008B2191"/>
    <w:rsid w:val="008B2CAB"/>
    <w:rsid w:val="008B3F24"/>
    <w:rsid w:val="008B7756"/>
    <w:rsid w:val="008C1E75"/>
    <w:rsid w:val="008C3B21"/>
    <w:rsid w:val="008C48A6"/>
    <w:rsid w:val="008C5BCE"/>
    <w:rsid w:val="008C7462"/>
    <w:rsid w:val="008C7715"/>
    <w:rsid w:val="008D0411"/>
    <w:rsid w:val="008D0484"/>
    <w:rsid w:val="008D0D6A"/>
    <w:rsid w:val="008D1331"/>
    <w:rsid w:val="008D1CE3"/>
    <w:rsid w:val="008D6390"/>
    <w:rsid w:val="008D63E7"/>
    <w:rsid w:val="008D7A39"/>
    <w:rsid w:val="008E11B5"/>
    <w:rsid w:val="008E3448"/>
    <w:rsid w:val="008E4EA9"/>
    <w:rsid w:val="008E6BE4"/>
    <w:rsid w:val="008E7FD3"/>
    <w:rsid w:val="008F005D"/>
    <w:rsid w:val="008F0600"/>
    <w:rsid w:val="008F194E"/>
    <w:rsid w:val="008F24C0"/>
    <w:rsid w:val="008F2C91"/>
    <w:rsid w:val="008F5B1D"/>
    <w:rsid w:val="0090003F"/>
    <w:rsid w:val="00900FE1"/>
    <w:rsid w:val="00903081"/>
    <w:rsid w:val="00903226"/>
    <w:rsid w:val="00903413"/>
    <w:rsid w:val="00903587"/>
    <w:rsid w:val="00904D32"/>
    <w:rsid w:val="00912412"/>
    <w:rsid w:val="00913039"/>
    <w:rsid w:val="00913068"/>
    <w:rsid w:val="0091330D"/>
    <w:rsid w:val="00914D04"/>
    <w:rsid w:val="00915E78"/>
    <w:rsid w:val="00915EB4"/>
    <w:rsid w:val="00916845"/>
    <w:rsid w:val="00916F05"/>
    <w:rsid w:val="0091722D"/>
    <w:rsid w:val="00921548"/>
    <w:rsid w:val="00921664"/>
    <w:rsid w:val="00921717"/>
    <w:rsid w:val="00921886"/>
    <w:rsid w:val="0092314A"/>
    <w:rsid w:val="009233DA"/>
    <w:rsid w:val="0092404A"/>
    <w:rsid w:val="009260DD"/>
    <w:rsid w:val="00926172"/>
    <w:rsid w:val="00926DB3"/>
    <w:rsid w:val="00927638"/>
    <w:rsid w:val="00927926"/>
    <w:rsid w:val="009323B1"/>
    <w:rsid w:val="009337D2"/>
    <w:rsid w:val="00933F94"/>
    <w:rsid w:val="0093414E"/>
    <w:rsid w:val="00934F8B"/>
    <w:rsid w:val="009352E1"/>
    <w:rsid w:val="00936E9A"/>
    <w:rsid w:val="00937C11"/>
    <w:rsid w:val="00940CA1"/>
    <w:rsid w:val="00940E7A"/>
    <w:rsid w:val="00940F6A"/>
    <w:rsid w:val="00941C7B"/>
    <w:rsid w:val="009459F0"/>
    <w:rsid w:val="0095238B"/>
    <w:rsid w:val="009527BD"/>
    <w:rsid w:val="00953E76"/>
    <w:rsid w:val="00954EE7"/>
    <w:rsid w:val="00955D9C"/>
    <w:rsid w:val="00957076"/>
    <w:rsid w:val="00961A6F"/>
    <w:rsid w:val="0096270A"/>
    <w:rsid w:val="009649CD"/>
    <w:rsid w:val="009707D4"/>
    <w:rsid w:val="009725FB"/>
    <w:rsid w:val="009758AA"/>
    <w:rsid w:val="009768C0"/>
    <w:rsid w:val="00976F4D"/>
    <w:rsid w:val="00983080"/>
    <w:rsid w:val="009844EB"/>
    <w:rsid w:val="00986F0F"/>
    <w:rsid w:val="00987CAF"/>
    <w:rsid w:val="00990C7B"/>
    <w:rsid w:val="00991C88"/>
    <w:rsid w:val="00992662"/>
    <w:rsid w:val="009937CE"/>
    <w:rsid w:val="0099390E"/>
    <w:rsid w:val="00993A4F"/>
    <w:rsid w:val="00994B1B"/>
    <w:rsid w:val="00996156"/>
    <w:rsid w:val="009964CC"/>
    <w:rsid w:val="00996709"/>
    <w:rsid w:val="00996EF7"/>
    <w:rsid w:val="009A112B"/>
    <w:rsid w:val="009A48D3"/>
    <w:rsid w:val="009A50EE"/>
    <w:rsid w:val="009A59F1"/>
    <w:rsid w:val="009A7537"/>
    <w:rsid w:val="009B04C2"/>
    <w:rsid w:val="009B0755"/>
    <w:rsid w:val="009B0CAD"/>
    <w:rsid w:val="009B0F2B"/>
    <w:rsid w:val="009B2926"/>
    <w:rsid w:val="009B2B39"/>
    <w:rsid w:val="009B3D31"/>
    <w:rsid w:val="009B4C20"/>
    <w:rsid w:val="009B4D25"/>
    <w:rsid w:val="009B5175"/>
    <w:rsid w:val="009B546C"/>
    <w:rsid w:val="009B554F"/>
    <w:rsid w:val="009B61E8"/>
    <w:rsid w:val="009B6313"/>
    <w:rsid w:val="009B70D9"/>
    <w:rsid w:val="009C071A"/>
    <w:rsid w:val="009C15EF"/>
    <w:rsid w:val="009C4692"/>
    <w:rsid w:val="009C52E0"/>
    <w:rsid w:val="009C5312"/>
    <w:rsid w:val="009C5357"/>
    <w:rsid w:val="009C55EE"/>
    <w:rsid w:val="009C5643"/>
    <w:rsid w:val="009C5C89"/>
    <w:rsid w:val="009C602B"/>
    <w:rsid w:val="009C711E"/>
    <w:rsid w:val="009C7D63"/>
    <w:rsid w:val="009D04D6"/>
    <w:rsid w:val="009D12B9"/>
    <w:rsid w:val="009D2479"/>
    <w:rsid w:val="009D27D7"/>
    <w:rsid w:val="009D319C"/>
    <w:rsid w:val="009D4C6A"/>
    <w:rsid w:val="009D56BB"/>
    <w:rsid w:val="009D6014"/>
    <w:rsid w:val="009D719D"/>
    <w:rsid w:val="009D7BE3"/>
    <w:rsid w:val="009E01D6"/>
    <w:rsid w:val="009E0354"/>
    <w:rsid w:val="009E0C58"/>
    <w:rsid w:val="009E3294"/>
    <w:rsid w:val="009E367C"/>
    <w:rsid w:val="009E504D"/>
    <w:rsid w:val="009E6F40"/>
    <w:rsid w:val="009F07B4"/>
    <w:rsid w:val="009F130F"/>
    <w:rsid w:val="009F3412"/>
    <w:rsid w:val="009F4281"/>
    <w:rsid w:val="009F45E0"/>
    <w:rsid w:val="009F4E45"/>
    <w:rsid w:val="009F5264"/>
    <w:rsid w:val="009F611F"/>
    <w:rsid w:val="009F6A19"/>
    <w:rsid w:val="009F6DE3"/>
    <w:rsid w:val="009F7923"/>
    <w:rsid w:val="00A004DA"/>
    <w:rsid w:val="00A01F68"/>
    <w:rsid w:val="00A02BAC"/>
    <w:rsid w:val="00A03E95"/>
    <w:rsid w:val="00A04E03"/>
    <w:rsid w:val="00A05D08"/>
    <w:rsid w:val="00A061D9"/>
    <w:rsid w:val="00A065CB"/>
    <w:rsid w:val="00A10963"/>
    <w:rsid w:val="00A1101F"/>
    <w:rsid w:val="00A116FA"/>
    <w:rsid w:val="00A12354"/>
    <w:rsid w:val="00A12A91"/>
    <w:rsid w:val="00A143F8"/>
    <w:rsid w:val="00A14F19"/>
    <w:rsid w:val="00A15CE1"/>
    <w:rsid w:val="00A161BE"/>
    <w:rsid w:val="00A16EC5"/>
    <w:rsid w:val="00A16F11"/>
    <w:rsid w:val="00A224E9"/>
    <w:rsid w:val="00A229C1"/>
    <w:rsid w:val="00A22EAE"/>
    <w:rsid w:val="00A23816"/>
    <w:rsid w:val="00A24060"/>
    <w:rsid w:val="00A25927"/>
    <w:rsid w:val="00A259B8"/>
    <w:rsid w:val="00A26A97"/>
    <w:rsid w:val="00A2703A"/>
    <w:rsid w:val="00A27B5D"/>
    <w:rsid w:val="00A30B23"/>
    <w:rsid w:val="00A31610"/>
    <w:rsid w:val="00A32201"/>
    <w:rsid w:val="00A32210"/>
    <w:rsid w:val="00A33623"/>
    <w:rsid w:val="00A33A13"/>
    <w:rsid w:val="00A34040"/>
    <w:rsid w:val="00A35D18"/>
    <w:rsid w:val="00A35D42"/>
    <w:rsid w:val="00A4020F"/>
    <w:rsid w:val="00A4046E"/>
    <w:rsid w:val="00A407F8"/>
    <w:rsid w:val="00A40FB1"/>
    <w:rsid w:val="00A41225"/>
    <w:rsid w:val="00A42925"/>
    <w:rsid w:val="00A438A0"/>
    <w:rsid w:val="00A43A0F"/>
    <w:rsid w:val="00A43CB3"/>
    <w:rsid w:val="00A45F89"/>
    <w:rsid w:val="00A472A3"/>
    <w:rsid w:val="00A47B41"/>
    <w:rsid w:val="00A500BE"/>
    <w:rsid w:val="00A50121"/>
    <w:rsid w:val="00A50165"/>
    <w:rsid w:val="00A53782"/>
    <w:rsid w:val="00A53B12"/>
    <w:rsid w:val="00A53BEA"/>
    <w:rsid w:val="00A53FD0"/>
    <w:rsid w:val="00A5401A"/>
    <w:rsid w:val="00A545DB"/>
    <w:rsid w:val="00A545EF"/>
    <w:rsid w:val="00A601F2"/>
    <w:rsid w:val="00A612A9"/>
    <w:rsid w:val="00A635A2"/>
    <w:rsid w:val="00A6696D"/>
    <w:rsid w:val="00A71FC6"/>
    <w:rsid w:val="00A72639"/>
    <w:rsid w:val="00A73395"/>
    <w:rsid w:val="00A77C06"/>
    <w:rsid w:val="00A80E6E"/>
    <w:rsid w:val="00A8125D"/>
    <w:rsid w:val="00A81C78"/>
    <w:rsid w:val="00A833AC"/>
    <w:rsid w:val="00A845F3"/>
    <w:rsid w:val="00A85103"/>
    <w:rsid w:val="00A86ECB"/>
    <w:rsid w:val="00A87683"/>
    <w:rsid w:val="00A91614"/>
    <w:rsid w:val="00A91C78"/>
    <w:rsid w:val="00A91EA3"/>
    <w:rsid w:val="00A92869"/>
    <w:rsid w:val="00A92BB0"/>
    <w:rsid w:val="00A96384"/>
    <w:rsid w:val="00A96A26"/>
    <w:rsid w:val="00AA09EB"/>
    <w:rsid w:val="00AA4035"/>
    <w:rsid w:val="00AA4360"/>
    <w:rsid w:val="00AA69C2"/>
    <w:rsid w:val="00AA7D5E"/>
    <w:rsid w:val="00AB0AEB"/>
    <w:rsid w:val="00AB2154"/>
    <w:rsid w:val="00AB2DAC"/>
    <w:rsid w:val="00AB43EA"/>
    <w:rsid w:val="00AB48E2"/>
    <w:rsid w:val="00AB4EF4"/>
    <w:rsid w:val="00AB7259"/>
    <w:rsid w:val="00AB7440"/>
    <w:rsid w:val="00AB79D4"/>
    <w:rsid w:val="00AC04F7"/>
    <w:rsid w:val="00AC0E7D"/>
    <w:rsid w:val="00AC17E4"/>
    <w:rsid w:val="00AC3E2B"/>
    <w:rsid w:val="00AC57B2"/>
    <w:rsid w:val="00AC6BED"/>
    <w:rsid w:val="00AD0FDF"/>
    <w:rsid w:val="00AD2A45"/>
    <w:rsid w:val="00AD2EB2"/>
    <w:rsid w:val="00AD4C39"/>
    <w:rsid w:val="00AD50E0"/>
    <w:rsid w:val="00AD52B8"/>
    <w:rsid w:val="00AD7E33"/>
    <w:rsid w:val="00AE032E"/>
    <w:rsid w:val="00AE215B"/>
    <w:rsid w:val="00AE38C0"/>
    <w:rsid w:val="00AE4AE7"/>
    <w:rsid w:val="00AE4FEB"/>
    <w:rsid w:val="00AE63F8"/>
    <w:rsid w:val="00AE7333"/>
    <w:rsid w:val="00AE7B8B"/>
    <w:rsid w:val="00AF01FE"/>
    <w:rsid w:val="00AF1DF9"/>
    <w:rsid w:val="00AF1E27"/>
    <w:rsid w:val="00AF1F3E"/>
    <w:rsid w:val="00AF2389"/>
    <w:rsid w:val="00AF2661"/>
    <w:rsid w:val="00AF2B02"/>
    <w:rsid w:val="00AF2BA1"/>
    <w:rsid w:val="00AF2BFC"/>
    <w:rsid w:val="00AF3C7D"/>
    <w:rsid w:val="00AF4AEA"/>
    <w:rsid w:val="00AF65D3"/>
    <w:rsid w:val="00AF67D6"/>
    <w:rsid w:val="00AF7F3D"/>
    <w:rsid w:val="00B00FC8"/>
    <w:rsid w:val="00B014FF"/>
    <w:rsid w:val="00B01799"/>
    <w:rsid w:val="00B01EC5"/>
    <w:rsid w:val="00B069E6"/>
    <w:rsid w:val="00B077F7"/>
    <w:rsid w:val="00B102CA"/>
    <w:rsid w:val="00B112E6"/>
    <w:rsid w:val="00B11521"/>
    <w:rsid w:val="00B1181A"/>
    <w:rsid w:val="00B139B5"/>
    <w:rsid w:val="00B15466"/>
    <w:rsid w:val="00B15C59"/>
    <w:rsid w:val="00B169F2"/>
    <w:rsid w:val="00B17DCB"/>
    <w:rsid w:val="00B22758"/>
    <w:rsid w:val="00B232F6"/>
    <w:rsid w:val="00B2456A"/>
    <w:rsid w:val="00B25086"/>
    <w:rsid w:val="00B25192"/>
    <w:rsid w:val="00B25382"/>
    <w:rsid w:val="00B25403"/>
    <w:rsid w:val="00B26272"/>
    <w:rsid w:val="00B30D16"/>
    <w:rsid w:val="00B3134C"/>
    <w:rsid w:val="00B318C4"/>
    <w:rsid w:val="00B328E5"/>
    <w:rsid w:val="00B32FDB"/>
    <w:rsid w:val="00B337D9"/>
    <w:rsid w:val="00B33CB8"/>
    <w:rsid w:val="00B33CF1"/>
    <w:rsid w:val="00B3459F"/>
    <w:rsid w:val="00B3719E"/>
    <w:rsid w:val="00B3729D"/>
    <w:rsid w:val="00B40526"/>
    <w:rsid w:val="00B408F6"/>
    <w:rsid w:val="00B416BF"/>
    <w:rsid w:val="00B41B37"/>
    <w:rsid w:val="00B422EF"/>
    <w:rsid w:val="00B45C76"/>
    <w:rsid w:val="00B463EE"/>
    <w:rsid w:val="00B46A39"/>
    <w:rsid w:val="00B51A86"/>
    <w:rsid w:val="00B53C07"/>
    <w:rsid w:val="00B54A27"/>
    <w:rsid w:val="00B54BAB"/>
    <w:rsid w:val="00B54D29"/>
    <w:rsid w:val="00B54F8C"/>
    <w:rsid w:val="00B55222"/>
    <w:rsid w:val="00B5617F"/>
    <w:rsid w:val="00B56244"/>
    <w:rsid w:val="00B5658F"/>
    <w:rsid w:val="00B57448"/>
    <w:rsid w:val="00B57D4F"/>
    <w:rsid w:val="00B6122F"/>
    <w:rsid w:val="00B64C0B"/>
    <w:rsid w:val="00B64E0F"/>
    <w:rsid w:val="00B65138"/>
    <w:rsid w:val="00B6688F"/>
    <w:rsid w:val="00B706F1"/>
    <w:rsid w:val="00B720A5"/>
    <w:rsid w:val="00B72FE4"/>
    <w:rsid w:val="00B73886"/>
    <w:rsid w:val="00B74011"/>
    <w:rsid w:val="00B773E9"/>
    <w:rsid w:val="00B8133C"/>
    <w:rsid w:val="00B81934"/>
    <w:rsid w:val="00B82E0C"/>
    <w:rsid w:val="00B8313D"/>
    <w:rsid w:val="00B85F17"/>
    <w:rsid w:val="00B86649"/>
    <w:rsid w:val="00B94A49"/>
    <w:rsid w:val="00B97564"/>
    <w:rsid w:val="00B97A5C"/>
    <w:rsid w:val="00BA00C5"/>
    <w:rsid w:val="00BA131B"/>
    <w:rsid w:val="00BA1C42"/>
    <w:rsid w:val="00BA3687"/>
    <w:rsid w:val="00BA3D65"/>
    <w:rsid w:val="00BA4482"/>
    <w:rsid w:val="00BA4F5E"/>
    <w:rsid w:val="00BB5218"/>
    <w:rsid w:val="00BB65C0"/>
    <w:rsid w:val="00BC1029"/>
    <w:rsid w:val="00BC1A82"/>
    <w:rsid w:val="00BC1A9D"/>
    <w:rsid w:val="00BC29E0"/>
    <w:rsid w:val="00BC2C51"/>
    <w:rsid w:val="00BC49E4"/>
    <w:rsid w:val="00BC5FE2"/>
    <w:rsid w:val="00BC6DAF"/>
    <w:rsid w:val="00BC7717"/>
    <w:rsid w:val="00BC7AAB"/>
    <w:rsid w:val="00BD30B4"/>
    <w:rsid w:val="00BD4002"/>
    <w:rsid w:val="00BD67DD"/>
    <w:rsid w:val="00BE0535"/>
    <w:rsid w:val="00BE1362"/>
    <w:rsid w:val="00BE1B24"/>
    <w:rsid w:val="00BE27EC"/>
    <w:rsid w:val="00BE2C57"/>
    <w:rsid w:val="00BF0A64"/>
    <w:rsid w:val="00BF0BF4"/>
    <w:rsid w:val="00BF3C70"/>
    <w:rsid w:val="00BF5756"/>
    <w:rsid w:val="00BF5932"/>
    <w:rsid w:val="00C018FA"/>
    <w:rsid w:val="00C0278A"/>
    <w:rsid w:val="00C02AB0"/>
    <w:rsid w:val="00C03121"/>
    <w:rsid w:val="00C04296"/>
    <w:rsid w:val="00C04C63"/>
    <w:rsid w:val="00C06387"/>
    <w:rsid w:val="00C067B4"/>
    <w:rsid w:val="00C0737A"/>
    <w:rsid w:val="00C07446"/>
    <w:rsid w:val="00C074FE"/>
    <w:rsid w:val="00C0753F"/>
    <w:rsid w:val="00C076C1"/>
    <w:rsid w:val="00C10076"/>
    <w:rsid w:val="00C1020C"/>
    <w:rsid w:val="00C17B3A"/>
    <w:rsid w:val="00C17C10"/>
    <w:rsid w:val="00C20FFA"/>
    <w:rsid w:val="00C21600"/>
    <w:rsid w:val="00C22F3E"/>
    <w:rsid w:val="00C23C52"/>
    <w:rsid w:val="00C26532"/>
    <w:rsid w:val="00C27246"/>
    <w:rsid w:val="00C27D91"/>
    <w:rsid w:val="00C317F0"/>
    <w:rsid w:val="00C32047"/>
    <w:rsid w:val="00C33E71"/>
    <w:rsid w:val="00C34260"/>
    <w:rsid w:val="00C34680"/>
    <w:rsid w:val="00C3483C"/>
    <w:rsid w:val="00C37A73"/>
    <w:rsid w:val="00C4026F"/>
    <w:rsid w:val="00C40915"/>
    <w:rsid w:val="00C412A5"/>
    <w:rsid w:val="00C41379"/>
    <w:rsid w:val="00C41487"/>
    <w:rsid w:val="00C41E1F"/>
    <w:rsid w:val="00C44FC9"/>
    <w:rsid w:val="00C46155"/>
    <w:rsid w:val="00C46740"/>
    <w:rsid w:val="00C47704"/>
    <w:rsid w:val="00C5052F"/>
    <w:rsid w:val="00C52943"/>
    <w:rsid w:val="00C541E8"/>
    <w:rsid w:val="00C542FB"/>
    <w:rsid w:val="00C54480"/>
    <w:rsid w:val="00C61F07"/>
    <w:rsid w:val="00C620B7"/>
    <w:rsid w:val="00C628B9"/>
    <w:rsid w:val="00C6316C"/>
    <w:rsid w:val="00C6336E"/>
    <w:rsid w:val="00C650EB"/>
    <w:rsid w:val="00C651A5"/>
    <w:rsid w:val="00C66BBA"/>
    <w:rsid w:val="00C675D7"/>
    <w:rsid w:val="00C710B5"/>
    <w:rsid w:val="00C74C26"/>
    <w:rsid w:val="00C75197"/>
    <w:rsid w:val="00C75A9A"/>
    <w:rsid w:val="00C764B2"/>
    <w:rsid w:val="00C76564"/>
    <w:rsid w:val="00C76680"/>
    <w:rsid w:val="00C77473"/>
    <w:rsid w:val="00C8138E"/>
    <w:rsid w:val="00C8269B"/>
    <w:rsid w:val="00C84749"/>
    <w:rsid w:val="00C85514"/>
    <w:rsid w:val="00C8613A"/>
    <w:rsid w:val="00C914DC"/>
    <w:rsid w:val="00C92870"/>
    <w:rsid w:val="00C95D1D"/>
    <w:rsid w:val="00C97068"/>
    <w:rsid w:val="00CA0095"/>
    <w:rsid w:val="00CA05E1"/>
    <w:rsid w:val="00CA1F9B"/>
    <w:rsid w:val="00CA2846"/>
    <w:rsid w:val="00CA5519"/>
    <w:rsid w:val="00CA7F7F"/>
    <w:rsid w:val="00CB2C07"/>
    <w:rsid w:val="00CB2D26"/>
    <w:rsid w:val="00CB2D93"/>
    <w:rsid w:val="00CB351A"/>
    <w:rsid w:val="00CB4642"/>
    <w:rsid w:val="00CB510F"/>
    <w:rsid w:val="00CB6E4C"/>
    <w:rsid w:val="00CC2113"/>
    <w:rsid w:val="00CC339F"/>
    <w:rsid w:val="00CC4BCA"/>
    <w:rsid w:val="00CD0844"/>
    <w:rsid w:val="00CD1CDE"/>
    <w:rsid w:val="00CD2C8D"/>
    <w:rsid w:val="00CD3AD0"/>
    <w:rsid w:val="00CD3C80"/>
    <w:rsid w:val="00CD45BB"/>
    <w:rsid w:val="00CD4E96"/>
    <w:rsid w:val="00CE00D9"/>
    <w:rsid w:val="00CE09FA"/>
    <w:rsid w:val="00CE177F"/>
    <w:rsid w:val="00CE19C7"/>
    <w:rsid w:val="00CE3A4E"/>
    <w:rsid w:val="00CE4430"/>
    <w:rsid w:val="00CE48D9"/>
    <w:rsid w:val="00CE4A05"/>
    <w:rsid w:val="00CE7565"/>
    <w:rsid w:val="00CF282C"/>
    <w:rsid w:val="00CF311C"/>
    <w:rsid w:val="00CF32EE"/>
    <w:rsid w:val="00CF333C"/>
    <w:rsid w:val="00CF5639"/>
    <w:rsid w:val="00CF5C6A"/>
    <w:rsid w:val="00CF6B57"/>
    <w:rsid w:val="00CF752D"/>
    <w:rsid w:val="00D02876"/>
    <w:rsid w:val="00D02D38"/>
    <w:rsid w:val="00D046F9"/>
    <w:rsid w:val="00D04E74"/>
    <w:rsid w:val="00D0516F"/>
    <w:rsid w:val="00D063D0"/>
    <w:rsid w:val="00D079AD"/>
    <w:rsid w:val="00D128B2"/>
    <w:rsid w:val="00D12C0B"/>
    <w:rsid w:val="00D14DE4"/>
    <w:rsid w:val="00D213E2"/>
    <w:rsid w:val="00D25405"/>
    <w:rsid w:val="00D2605D"/>
    <w:rsid w:val="00D2679E"/>
    <w:rsid w:val="00D26E25"/>
    <w:rsid w:val="00D3121F"/>
    <w:rsid w:val="00D317A2"/>
    <w:rsid w:val="00D31A20"/>
    <w:rsid w:val="00D323E6"/>
    <w:rsid w:val="00D324F6"/>
    <w:rsid w:val="00D33C00"/>
    <w:rsid w:val="00D35918"/>
    <w:rsid w:val="00D36951"/>
    <w:rsid w:val="00D36E6E"/>
    <w:rsid w:val="00D37691"/>
    <w:rsid w:val="00D37D21"/>
    <w:rsid w:val="00D40999"/>
    <w:rsid w:val="00D41D2C"/>
    <w:rsid w:val="00D425B6"/>
    <w:rsid w:val="00D42F71"/>
    <w:rsid w:val="00D450B8"/>
    <w:rsid w:val="00D463DD"/>
    <w:rsid w:val="00D5009A"/>
    <w:rsid w:val="00D512AF"/>
    <w:rsid w:val="00D512BE"/>
    <w:rsid w:val="00D515A2"/>
    <w:rsid w:val="00D5268B"/>
    <w:rsid w:val="00D5343C"/>
    <w:rsid w:val="00D568D8"/>
    <w:rsid w:val="00D56FE1"/>
    <w:rsid w:val="00D62406"/>
    <w:rsid w:val="00D63193"/>
    <w:rsid w:val="00D642E3"/>
    <w:rsid w:val="00D64494"/>
    <w:rsid w:val="00D64A89"/>
    <w:rsid w:val="00D675E5"/>
    <w:rsid w:val="00D70B25"/>
    <w:rsid w:val="00D70E5C"/>
    <w:rsid w:val="00D71028"/>
    <w:rsid w:val="00D71053"/>
    <w:rsid w:val="00D713AE"/>
    <w:rsid w:val="00D71B62"/>
    <w:rsid w:val="00D7273D"/>
    <w:rsid w:val="00D734F6"/>
    <w:rsid w:val="00D736EF"/>
    <w:rsid w:val="00D74D5F"/>
    <w:rsid w:val="00D80AD0"/>
    <w:rsid w:val="00D845E2"/>
    <w:rsid w:val="00D85361"/>
    <w:rsid w:val="00D85B1E"/>
    <w:rsid w:val="00D85C66"/>
    <w:rsid w:val="00D86BB7"/>
    <w:rsid w:val="00D91547"/>
    <w:rsid w:val="00D915D5"/>
    <w:rsid w:val="00D92A68"/>
    <w:rsid w:val="00D94D78"/>
    <w:rsid w:val="00D94DE0"/>
    <w:rsid w:val="00D960DE"/>
    <w:rsid w:val="00DA037F"/>
    <w:rsid w:val="00DA15E9"/>
    <w:rsid w:val="00DA3421"/>
    <w:rsid w:val="00DA4D14"/>
    <w:rsid w:val="00DA7CC7"/>
    <w:rsid w:val="00DB02FA"/>
    <w:rsid w:val="00DB0BEC"/>
    <w:rsid w:val="00DB0C45"/>
    <w:rsid w:val="00DB21B3"/>
    <w:rsid w:val="00DB2F38"/>
    <w:rsid w:val="00DB4BE6"/>
    <w:rsid w:val="00DB5CD0"/>
    <w:rsid w:val="00DB5F2B"/>
    <w:rsid w:val="00DB60C3"/>
    <w:rsid w:val="00DB6BBA"/>
    <w:rsid w:val="00DB7995"/>
    <w:rsid w:val="00DC0A97"/>
    <w:rsid w:val="00DC19D3"/>
    <w:rsid w:val="00DC1EBC"/>
    <w:rsid w:val="00DC4496"/>
    <w:rsid w:val="00DC4EAA"/>
    <w:rsid w:val="00DC7177"/>
    <w:rsid w:val="00DC75E0"/>
    <w:rsid w:val="00DD067B"/>
    <w:rsid w:val="00DD16A1"/>
    <w:rsid w:val="00DD184B"/>
    <w:rsid w:val="00DD31AF"/>
    <w:rsid w:val="00DD3BE8"/>
    <w:rsid w:val="00DD4777"/>
    <w:rsid w:val="00DD5A30"/>
    <w:rsid w:val="00DD6FAA"/>
    <w:rsid w:val="00DD75A1"/>
    <w:rsid w:val="00DD7E3E"/>
    <w:rsid w:val="00DE0A8A"/>
    <w:rsid w:val="00DE414D"/>
    <w:rsid w:val="00DE45A3"/>
    <w:rsid w:val="00DE4BA5"/>
    <w:rsid w:val="00DE64D3"/>
    <w:rsid w:val="00DF19A2"/>
    <w:rsid w:val="00DF2615"/>
    <w:rsid w:val="00DF2916"/>
    <w:rsid w:val="00DF29C6"/>
    <w:rsid w:val="00DF3065"/>
    <w:rsid w:val="00DF368F"/>
    <w:rsid w:val="00DF3BEA"/>
    <w:rsid w:val="00DF7329"/>
    <w:rsid w:val="00E009F8"/>
    <w:rsid w:val="00E0305E"/>
    <w:rsid w:val="00E04500"/>
    <w:rsid w:val="00E113C4"/>
    <w:rsid w:val="00E1376B"/>
    <w:rsid w:val="00E16095"/>
    <w:rsid w:val="00E16D10"/>
    <w:rsid w:val="00E17825"/>
    <w:rsid w:val="00E17B4E"/>
    <w:rsid w:val="00E24E2B"/>
    <w:rsid w:val="00E25210"/>
    <w:rsid w:val="00E32CCD"/>
    <w:rsid w:val="00E33285"/>
    <w:rsid w:val="00E343E8"/>
    <w:rsid w:val="00E3483E"/>
    <w:rsid w:val="00E3680A"/>
    <w:rsid w:val="00E36864"/>
    <w:rsid w:val="00E416CF"/>
    <w:rsid w:val="00E41AE3"/>
    <w:rsid w:val="00E42BCF"/>
    <w:rsid w:val="00E42EB6"/>
    <w:rsid w:val="00E4328D"/>
    <w:rsid w:val="00E4448B"/>
    <w:rsid w:val="00E446A3"/>
    <w:rsid w:val="00E46F18"/>
    <w:rsid w:val="00E500BB"/>
    <w:rsid w:val="00E5059B"/>
    <w:rsid w:val="00E50AA9"/>
    <w:rsid w:val="00E51C22"/>
    <w:rsid w:val="00E52820"/>
    <w:rsid w:val="00E53607"/>
    <w:rsid w:val="00E560D4"/>
    <w:rsid w:val="00E5719D"/>
    <w:rsid w:val="00E57E93"/>
    <w:rsid w:val="00E6113F"/>
    <w:rsid w:val="00E6375C"/>
    <w:rsid w:val="00E64664"/>
    <w:rsid w:val="00E65AD4"/>
    <w:rsid w:val="00E6695C"/>
    <w:rsid w:val="00E669D0"/>
    <w:rsid w:val="00E67D27"/>
    <w:rsid w:val="00E67EB8"/>
    <w:rsid w:val="00E710B6"/>
    <w:rsid w:val="00E71C2D"/>
    <w:rsid w:val="00E727AF"/>
    <w:rsid w:val="00E73EA3"/>
    <w:rsid w:val="00E74DFB"/>
    <w:rsid w:val="00E80AF9"/>
    <w:rsid w:val="00E81BEB"/>
    <w:rsid w:val="00E8389C"/>
    <w:rsid w:val="00E83C6B"/>
    <w:rsid w:val="00E843A8"/>
    <w:rsid w:val="00E92985"/>
    <w:rsid w:val="00E92DD7"/>
    <w:rsid w:val="00E934DE"/>
    <w:rsid w:val="00E938CA"/>
    <w:rsid w:val="00E94219"/>
    <w:rsid w:val="00E94B8B"/>
    <w:rsid w:val="00E95DD2"/>
    <w:rsid w:val="00EB0486"/>
    <w:rsid w:val="00EB05D0"/>
    <w:rsid w:val="00EB1206"/>
    <w:rsid w:val="00EB3DBD"/>
    <w:rsid w:val="00EB52BD"/>
    <w:rsid w:val="00EB656A"/>
    <w:rsid w:val="00EB6E7E"/>
    <w:rsid w:val="00EC0DBE"/>
    <w:rsid w:val="00EC1CEC"/>
    <w:rsid w:val="00EC26F2"/>
    <w:rsid w:val="00EC315B"/>
    <w:rsid w:val="00EC436E"/>
    <w:rsid w:val="00EC572F"/>
    <w:rsid w:val="00EC5F1C"/>
    <w:rsid w:val="00EC747D"/>
    <w:rsid w:val="00ED0537"/>
    <w:rsid w:val="00ED16B4"/>
    <w:rsid w:val="00ED2323"/>
    <w:rsid w:val="00ED261F"/>
    <w:rsid w:val="00ED3588"/>
    <w:rsid w:val="00ED588A"/>
    <w:rsid w:val="00ED7A90"/>
    <w:rsid w:val="00EE0166"/>
    <w:rsid w:val="00EE143C"/>
    <w:rsid w:val="00EE2178"/>
    <w:rsid w:val="00EE48AF"/>
    <w:rsid w:val="00EE4A84"/>
    <w:rsid w:val="00EE4B9D"/>
    <w:rsid w:val="00EE603E"/>
    <w:rsid w:val="00EE6391"/>
    <w:rsid w:val="00EE6B05"/>
    <w:rsid w:val="00EE7C69"/>
    <w:rsid w:val="00EF021A"/>
    <w:rsid w:val="00EF0D0C"/>
    <w:rsid w:val="00EF14D7"/>
    <w:rsid w:val="00EF21A2"/>
    <w:rsid w:val="00EF3CAC"/>
    <w:rsid w:val="00EF3DE4"/>
    <w:rsid w:val="00EF5139"/>
    <w:rsid w:val="00EF5E2B"/>
    <w:rsid w:val="00EF6124"/>
    <w:rsid w:val="00EF6911"/>
    <w:rsid w:val="00EF6DDE"/>
    <w:rsid w:val="00EF701C"/>
    <w:rsid w:val="00F01053"/>
    <w:rsid w:val="00F026A2"/>
    <w:rsid w:val="00F03C65"/>
    <w:rsid w:val="00F05779"/>
    <w:rsid w:val="00F104F5"/>
    <w:rsid w:val="00F10E20"/>
    <w:rsid w:val="00F137BA"/>
    <w:rsid w:val="00F1443F"/>
    <w:rsid w:val="00F14DE4"/>
    <w:rsid w:val="00F150CF"/>
    <w:rsid w:val="00F15DEF"/>
    <w:rsid w:val="00F21248"/>
    <w:rsid w:val="00F22876"/>
    <w:rsid w:val="00F22EA4"/>
    <w:rsid w:val="00F27C45"/>
    <w:rsid w:val="00F30503"/>
    <w:rsid w:val="00F306AF"/>
    <w:rsid w:val="00F30F5E"/>
    <w:rsid w:val="00F312A3"/>
    <w:rsid w:val="00F31BB2"/>
    <w:rsid w:val="00F33816"/>
    <w:rsid w:val="00F3391A"/>
    <w:rsid w:val="00F3496B"/>
    <w:rsid w:val="00F35A17"/>
    <w:rsid w:val="00F421DF"/>
    <w:rsid w:val="00F43DD7"/>
    <w:rsid w:val="00F4642C"/>
    <w:rsid w:val="00F47A7E"/>
    <w:rsid w:val="00F47CE2"/>
    <w:rsid w:val="00F50873"/>
    <w:rsid w:val="00F518C7"/>
    <w:rsid w:val="00F538C7"/>
    <w:rsid w:val="00F53B64"/>
    <w:rsid w:val="00F542B3"/>
    <w:rsid w:val="00F550DB"/>
    <w:rsid w:val="00F56018"/>
    <w:rsid w:val="00F57A94"/>
    <w:rsid w:val="00F60301"/>
    <w:rsid w:val="00F6226E"/>
    <w:rsid w:val="00F63269"/>
    <w:rsid w:val="00F63525"/>
    <w:rsid w:val="00F64795"/>
    <w:rsid w:val="00F654C9"/>
    <w:rsid w:val="00F66304"/>
    <w:rsid w:val="00F66594"/>
    <w:rsid w:val="00F66FCE"/>
    <w:rsid w:val="00F67899"/>
    <w:rsid w:val="00F72C2A"/>
    <w:rsid w:val="00F72F25"/>
    <w:rsid w:val="00F749E9"/>
    <w:rsid w:val="00F8057B"/>
    <w:rsid w:val="00F816DB"/>
    <w:rsid w:val="00F821A2"/>
    <w:rsid w:val="00F83F7B"/>
    <w:rsid w:val="00F855E6"/>
    <w:rsid w:val="00F86D15"/>
    <w:rsid w:val="00F8787D"/>
    <w:rsid w:val="00F91C54"/>
    <w:rsid w:val="00F92BA9"/>
    <w:rsid w:val="00F93D61"/>
    <w:rsid w:val="00F93D82"/>
    <w:rsid w:val="00F93E47"/>
    <w:rsid w:val="00F93E53"/>
    <w:rsid w:val="00F94BBE"/>
    <w:rsid w:val="00F95E95"/>
    <w:rsid w:val="00F976F2"/>
    <w:rsid w:val="00FA0B6F"/>
    <w:rsid w:val="00FA10FD"/>
    <w:rsid w:val="00FA20BC"/>
    <w:rsid w:val="00FA2425"/>
    <w:rsid w:val="00FA36DE"/>
    <w:rsid w:val="00FA4A6E"/>
    <w:rsid w:val="00FA5AFB"/>
    <w:rsid w:val="00FB1AA3"/>
    <w:rsid w:val="00FB2A7A"/>
    <w:rsid w:val="00FB4593"/>
    <w:rsid w:val="00FB587D"/>
    <w:rsid w:val="00FB6F18"/>
    <w:rsid w:val="00FB6F21"/>
    <w:rsid w:val="00FC0348"/>
    <w:rsid w:val="00FC393F"/>
    <w:rsid w:val="00FC5005"/>
    <w:rsid w:val="00FC64F2"/>
    <w:rsid w:val="00FC6546"/>
    <w:rsid w:val="00FD0FE8"/>
    <w:rsid w:val="00FD1886"/>
    <w:rsid w:val="00FD1FA6"/>
    <w:rsid w:val="00FD233F"/>
    <w:rsid w:val="00FD23A3"/>
    <w:rsid w:val="00FD2D05"/>
    <w:rsid w:val="00FD3184"/>
    <w:rsid w:val="00FD3368"/>
    <w:rsid w:val="00FD3C30"/>
    <w:rsid w:val="00FD4120"/>
    <w:rsid w:val="00FD49F1"/>
    <w:rsid w:val="00FD76B4"/>
    <w:rsid w:val="00FD7DA9"/>
    <w:rsid w:val="00FE0960"/>
    <w:rsid w:val="00FE2474"/>
    <w:rsid w:val="00FE27B9"/>
    <w:rsid w:val="00FE2887"/>
    <w:rsid w:val="00FE3003"/>
    <w:rsid w:val="00FE45A7"/>
    <w:rsid w:val="00FE526F"/>
    <w:rsid w:val="00FE58F7"/>
    <w:rsid w:val="00FE5EC8"/>
    <w:rsid w:val="00FF295A"/>
    <w:rsid w:val="00FF40E0"/>
    <w:rsid w:val="00FF4789"/>
    <w:rsid w:val="00FF6A62"/>
    <w:rsid w:val="013B4480"/>
    <w:rsid w:val="01852234"/>
    <w:rsid w:val="01D5221F"/>
    <w:rsid w:val="01EE020B"/>
    <w:rsid w:val="020A3A82"/>
    <w:rsid w:val="02375663"/>
    <w:rsid w:val="03186B9F"/>
    <w:rsid w:val="03E61AD2"/>
    <w:rsid w:val="040F3F78"/>
    <w:rsid w:val="04110EC7"/>
    <w:rsid w:val="04267D2C"/>
    <w:rsid w:val="044E7FFC"/>
    <w:rsid w:val="04AA78B1"/>
    <w:rsid w:val="05566794"/>
    <w:rsid w:val="05C86055"/>
    <w:rsid w:val="05D7586D"/>
    <w:rsid w:val="06042E63"/>
    <w:rsid w:val="06144DDD"/>
    <w:rsid w:val="065354AE"/>
    <w:rsid w:val="06AB78D3"/>
    <w:rsid w:val="08005130"/>
    <w:rsid w:val="083425B5"/>
    <w:rsid w:val="08604910"/>
    <w:rsid w:val="08883C74"/>
    <w:rsid w:val="090B6A31"/>
    <w:rsid w:val="096A7106"/>
    <w:rsid w:val="09DC502C"/>
    <w:rsid w:val="0A384CA9"/>
    <w:rsid w:val="0A942945"/>
    <w:rsid w:val="0B7B146F"/>
    <w:rsid w:val="0BD568B5"/>
    <w:rsid w:val="0C261AD5"/>
    <w:rsid w:val="0C5357A4"/>
    <w:rsid w:val="0CB348EB"/>
    <w:rsid w:val="0CE27357"/>
    <w:rsid w:val="0D2C2A8A"/>
    <w:rsid w:val="0E044950"/>
    <w:rsid w:val="0F212320"/>
    <w:rsid w:val="0F431A5E"/>
    <w:rsid w:val="0F900C58"/>
    <w:rsid w:val="1017413E"/>
    <w:rsid w:val="102C397A"/>
    <w:rsid w:val="10C202C9"/>
    <w:rsid w:val="11B623D2"/>
    <w:rsid w:val="129F7111"/>
    <w:rsid w:val="133549F3"/>
    <w:rsid w:val="13FE6A14"/>
    <w:rsid w:val="141C607E"/>
    <w:rsid w:val="15D515FE"/>
    <w:rsid w:val="17126060"/>
    <w:rsid w:val="17784EDB"/>
    <w:rsid w:val="17E81377"/>
    <w:rsid w:val="18BF0742"/>
    <w:rsid w:val="18FA2FF7"/>
    <w:rsid w:val="19D373BA"/>
    <w:rsid w:val="19E212F8"/>
    <w:rsid w:val="1B2E3AAC"/>
    <w:rsid w:val="1DE65938"/>
    <w:rsid w:val="1DEA43BD"/>
    <w:rsid w:val="1E0878A1"/>
    <w:rsid w:val="1E941B70"/>
    <w:rsid w:val="1F5D618B"/>
    <w:rsid w:val="1FD9617B"/>
    <w:rsid w:val="2083396D"/>
    <w:rsid w:val="20A85341"/>
    <w:rsid w:val="20F831F3"/>
    <w:rsid w:val="21070202"/>
    <w:rsid w:val="2111655F"/>
    <w:rsid w:val="21174420"/>
    <w:rsid w:val="215031A9"/>
    <w:rsid w:val="21755BBC"/>
    <w:rsid w:val="230F7A72"/>
    <w:rsid w:val="24070B6F"/>
    <w:rsid w:val="24711552"/>
    <w:rsid w:val="249A37FA"/>
    <w:rsid w:val="24B9443C"/>
    <w:rsid w:val="24C85066"/>
    <w:rsid w:val="251A4A61"/>
    <w:rsid w:val="25B27F47"/>
    <w:rsid w:val="25F73B67"/>
    <w:rsid w:val="266D12DE"/>
    <w:rsid w:val="26C9088F"/>
    <w:rsid w:val="26CD4CEF"/>
    <w:rsid w:val="27756DB1"/>
    <w:rsid w:val="27BE4353"/>
    <w:rsid w:val="284B7713"/>
    <w:rsid w:val="285A7773"/>
    <w:rsid w:val="290F2746"/>
    <w:rsid w:val="29216325"/>
    <w:rsid w:val="29F439CB"/>
    <w:rsid w:val="2A006A14"/>
    <w:rsid w:val="2A4E1BD4"/>
    <w:rsid w:val="2B0E70B7"/>
    <w:rsid w:val="2B452C48"/>
    <w:rsid w:val="2B816E6C"/>
    <w:rsid w:val="2BB756FF"/>
    <w:rsid w:val="2C620EA4"/>
    <w:rsid w:val="2CEB78B7"/>
    <w:rsid w:val="2DC025A0"/>
    <w:rsid w:val="304F69A1"/>
    <w:rsid w:val="31086C0D"/>
    <w:rsid w:val="31196209"/>
    <w:rsid w:val="32D34ADC"/>
    <w:rsid w:val="33AC7471"/>
    <w:rsid w:val="34CC00C2"/>
    <w:rsid w:val="34E740AE"/>
    <w:rsid w:val="34F67742"/>
    <w:rsid w:val="3552432E"/>
    <w:rsid w:val="357C61D7"/>
    <w:rsid w:val="35840E2A"/>
    <w:rsid w:val="35C05CCE"/>
    <w:rsid w:val="35F1104B"/>
    <w:rsid w:val="36417B56"/>
    <w:rsid w:val="36B1345E"/>
    <w:rsid w:val="38B3099B"/>
    <w:rsid w:val="38E040BB"/>
    <w:rsid w:val="391C19AF"/>
    <w:rsid w:val="398C0D2E"/>
    <w:rsid w:val="3AFA0E8B"/>
    <w:rsid w:val="3B3136E5"/>
    <w:rsid w:val="3B414FD2"/>
    <w:rsid w:val="3B8E0779"/>
    <w:rsid w:val="3BFF043D"/>
    <w:rsid w:val="3C7716A2"/>
    <w:rsid w:val="3CA40BEF"/>
    <w:rsid w:val="3D9B10D4"/>
    <w:rsid w:val="3DDA5BD3"/>
    <w:rsid w:val="3E826402"/>
    <w:rsid w:val="3F6F4876"/>
    <w:rsid w:val="3F976FBA"/>
    <w:rsid w:val="3FF40049"/>
    <w:rsid w:val="40714B71"/>
    <w:rsid w:val="40C55AAB"/>
    <w:rsid w:val="414705D1"/>
    <w:rsid w:val="428B0407"/>
    <w:rsid w:val="44147EE8"/>
    <w:rsid w:val="44B50611"/>
    <w:rsid w:val="44EF6755"/>
    <w:rsid w:val="450A0312"/>
    <w:rsid w:val="45D174FC"/>
    <w:rsid w:val="461220FC"/>
    <w:rsid w:val="46161435"/>
    <w:rsid w:val="46626873"/>
    <w:rsid w:val="46807DC0"/>
    <w:rsid w:val="48514722"/>
    <w:rsid w:val="4A195F13"/>
    <w:rsid w:val="4A652380"/>
    <w:rsid w:val="4A954F42"/>
    <w:rsid w:val="4AC4183C"/>
    <w:rsid w:val="4B243BEF"/>
    <w:rsid w:val="4BA04A85"/>
    <w:rsid w:val="4CB90C3F"/>
    <w:rsid w:val="4D06167E"/>
    <w:rsid w:val="4E371900"/>
    <w:rsid w:val="4E7B4368"/>
    <w:rsid w:val="4EC6135A"/>
    <w:rsid w:val="4F1E27BF"/>
    <w:rsid w:val="4F6D3BB0"/>
    <w:rsid w:val="51264663"/>
    <w:rsid w:val="516F4592"/>
    <w:rsid w:val="52426999"/>
    <w:rsid w:val="5376427F"/>
    <w:rsid w:val="53F40EDE"/>
    <w:rsid w:val="540E6FB7"/>
    <w:rsid w:val="54313CE0"/>
    <w:rsid w:val="55581D25"/>
    <w:rsid w:val="5591742D"/>
    <w:rsid w:val="575A6735"/>
    <w:rsid w:val="57940F95"/>
    <w:rsid w:val="579C3687"/>
    <w:rsid w:val="58283ADE"/>
    <w:rsid w:val="586C5D97"/>
    <w:rsid w:val="59483066"/>
    <w:rsid w:val="59760799"/>
    <w:rsid w:val="598B4491"/>
    <w:rsid w:val="59BA2212"/>
    <w:rsid w:val="59E65F0F"/>
    <w:rsid w:val="5A0F4BB8"/>
    <w:rsid w:val="5AC451C8"/>
    <w:rsid w:val="5B3C62D5"/>
    <w:rsid w:val="5B8E5238"/>
    <w:rsid w:val="5B8F6B02"/>
    <w:rsid w:val="5BDC0692"/>
    <w:rsid w:val="5C8A5DB8"/>
    <w:rsid w:val="5CBE4F82"/>
    <w:rsid w:val="5CC477BF"/>
    <w:rsid w:val="5CDF2F13"/>
    <w:rsid w:val="5D144352"/>
    <w:rsid w:val="5DDF7D14"/>
    <w:rsid w:val="5E8703C4"/>
    <w:rsid w:val="5EBF5707"/>
    <w:rsid w:val="5F39485A"/>
    <w:rsid w:val="5F693EBE"/>
    <w:rsid w:val="5FA03D93"/>
    <w:rsid w:val="5FB339E1"/>
    <w:rsid w:val="5FEF36F8"/>
    <w:rsid w:val="5FF928BF"/>
    <w:rsid w:val="60D67852"/>
    <w:rsid w:val="613A504D"/>
    <w:rsid w:val="61483AD1"/>
    <w:rsid w:val="619E78DD"/>
    <w:rsid w:val="61D54A55"/>
    <w:rsid w:val="622E0F99"/>
    <w:rsid w:val="62D934EA"/>
    <w:rsid w:val="642F595C"/>
    <w:rsid w:val="645174CA"/>
    <w:rsid w:val="64633473"/>
    <w:rsid w:val="657B3985"/>
    <w:rsid w:val="65A0026F"/>
    <w:rsid w:val="66422C0A"/>
    <w:rsid w:val="66B24609"/>
    <w:rsid w:val="672022C0"/>
    <w:rsid w:val="676278C7"/>
    <w:rsid w:val="68024B35"/>
    <w:rsid w:val="682A086F"/>
    <w:rsid w:val="692B675B"/>
    <w:rsid w:val="692D1840"/>
    <w:rsid w:val="69AA230B"/>
    <w:rsid w:val="6A1D0D19"/>
    <w:rsid w:val="6AFF3487"/>
    <w:rsid w:val="6BA520BD"/>
    <w:rsid w:val="6BBE4595"/>
    <w:rsid w:val="6BD85C54"/>
    <w:rsid w:val="6CED4C12"/>
    <w:rsid w:val="6CF00CE8"/>
    <w:rsid w:val="6D7C3618"/>
    <w:rsid w:val="6E293467"/>
    <w:rsid w:val="6EBE5BE1"/>
    <w:rsid w:val="6F4503D5"/>
    <w:rsid w:val="6F7775CD"/>
    <w:rsid w:val="6FBA4933"/>
    <w:rsid w:val="6FCA5A33"/>
    <w:rsid w:val="70927A6E"/>
    <w:rsid w:val="70955377"/>
    <w:rsid w:val="724474F1"/>
    <w:rsid w:val="72996922"/>
    <w:rsid w:val="73557D60"/>
    <w:rsid w:val="738F2171"/>
    <w:rsid w:val="73A60022"/>
    <w:rsid w:val="73B00D90"/>
    <w:rsid w:val="74E33718"/>
    <w:rsid w:val="757E2C0F"/>
    <w:rsid w:val="76372BE9"/>
    <w:rsid w:val="770043D5"/>
    <w:rsid w:val="778D558D"/>
    <w:rsid w:val="7893250E"/>
    <w:rsid w:val="790F3ABE"/>
    <w:rsid w:val="794A6CCA"/>
    <w:rsid w:val="79754C62"/>
    <w:rsid w:val="797E17FB"/>
    <w:rsid w:val="79F90522"/>
    <w:rsid w:val="7B341F44"/>
    <w:rsid w:val="7B400AAB"/>
    <w:rsid w:val="7B631E67"/>
    <w:rsid w:val="7B6D4A90"/>
    <w:rsid w:val="7BFF3207"/>
    <w:rsid w:val="7C2524AD"/>
    <w:rsid w:val="7D583A56"/>
    <w:rsid w:val="7DE93743"/>
    <w:rsid w:val="7F124011"/>
    <w:rsid w:val="7FCA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locked/>
    <w:uiPriority w:val="0"/>
    <w:pPr>
      <w:keepNext/>
      <w:keepLines/>
      <w:spacing w:before="480"/>
      <w:outlineLvl w:val="0"/>
    </w:pPr>
    <w:rPr>
      <w:rFonts w:ascii="Cambria" w:hAnsi="Cambria" w:cs="Times New Roman"/>
      <w:b/>
      <w:bCs/>
      <w:color w:val="365F91"/>
      <w:sz w:val="28"/>
      <w:szCs w:val="28"/>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27"/>
    <w:qFormat/>
    <w:uiPriority w:val="0"/>
    <w:pPr>
      <w:jc w:val="left"/>
    </w:pPr>
    <w:rPr>
      <w:rFonts w:ascii="Times New Roman" w:hAnsi="Times New Roman" w:cs="Times New Roman"/>
      <w:szCs w:val="24"/>
    </w:rPr>
  </w:style>
  <w:style w:type="paragraph" w:styleId="5">
    <w:name w:val="Body Text Indent"/>
    <w:basedOn w:val="1"/>
    <w:qFormat/>
    <w:uiPriority w:val="0"/>
    <w:pPr>
      <w:spacing w:line="560" w:lineRule="exact"/>
      <w:ind w:firstLine="600" w:firstLineChars="200"/>
    </w:pPr>
    <w:rPr>
      <w:rFonts w:ascii="Times New Roman" w:hAnsi="Times New Roman" w:cs="Times New Roman"/>
      <w:sz w:val="30"/>
      <w:szCs w:val="24"/>
    </w:rPr>
  </w:style>
  <w:style w:type="paragraph" w:styleId="6">
    <w:name w:val="Plain Text"/>
    <w:basedOn w:val="1"/>
    <w:link w:val="28"/>
    <w:qFormat/>
    <w:uiPriority w:val="0"/>
    <w:rPr>
      <w:rFonts w:ascii="宋体" w:hAnsi="Courier New" w:cs="Times New Roman"/>
      <w:szCs w:val="20"/>
    </w:rPr>
  </w:style>
  <w:style w:type="paragraph" w:styleId="7">
    <w:name w:val="Body Text Indent 2"/>
    <w:basedOn w:val="1"/>
    <w:link w:val="30"/>
    <w:unhideWhenUsed/>
    <w:qFormat/>
    <w:uiPriority w:val="99"/>
    <w:pPr>
      <w:spacing w:after="120" w:line="480" w:lineRule="auto"/>
      <w:ind w:left="420" w:leftChars="200"/>
    </w:pPr>
    <w:rPr>
      <w:rFonts w:cs="Times New Roman"/>
    </w:rPr>
  </w:style>
  <w:style w:type="paragraph" w:styleId="8">
    <w:name w:val="Balloon Text"/>
    <w:basedOn w:val="1"/>
    <w:link w:val="22"/>
    <w:semiHidden/>
    <w:qFormat/>
    <w:uiPriority w:val="99"/>
    <w:rPr>
      <w:rFonts w:cs="Times New Roman"/>
      <w:sz w:val="18"/>
      <w:szCs w:val="18"/>
    </w:rPr>
  </w:style>
  <w:style w:type="paragraph" w:styleId="9">
    <w:name w:val="footer"/>
    <w:basedOn w:val="1"/>
    <w:link w:val="23"/>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1">
    <w:name w:val="HTML Preformatted"/>
    <w:basedOn w:val="1"/>
    <w:link w:val="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Times New Roman"/>
      <w:kern w:val="0"/>
      <w:sz w:val="24"/>
      <w:szCs w:val="24"/>
    </w:rPr>
  </w:style>
  <w:style w:type="paragraph" w:styleId="12">
    <w:name w:val="annotation subject"/>
    <w:basedOn w:val="4"/>
    <w:next w:val="4"/>
    <w:link w:val="26"/>
    <w:unhideWhenUsed/>
    <w:qFormat/>
    <w:uiPriority w:val="99"/>
    <w:rPr>
      <w:rFonts w:ascii="Calibri" w:hAnsi="Calibri" w:cs="Calibri"/>
      <w:b/>
      <w:bCs/>
      <w:szCs w:val="21"/>
    </w:rPr>
  </w:style>
  <w:style w:type="character" w:styleId="15">
    <w:name w:val="page number"/>
    <w:basedOn w:val="14"/>
    <w:qFormat/>
    <w:uiPriority w:val="0"/>
  </w:style>
  <w:style w:type="character" w:styleId="16">
    <w:name w:val="annotation reference"/>
    <w:unhideWhenUsed/>
    <w:qFormat/>
    <w:uiPriority w:val="0"/>
    <w:rPr>
      <w:sz w:val="21"/>
      <w:szCs w:val="21"/>
    </w:rPr>
  </w:style>
  <w:style w:type="paragraph" w:customStyle="1" w:styleId="17">
    <w:name w:val="列出段落2"/>
    <w:basedOn w:val="1"/>
    <w:qFormat/>
    <w:uiPriority w:val="99"/>
    <w:pPr>
      <w:ind w:firstLine="420" w:firstLineChars="200"/>
    </w:pPr>
    <w:rPr>
      <w:rFonts w:ascii="Times New Roman" w:hAnsi="Times New Roman" w:cs="Times New Roman"/>
      <w:szCs w:val="24"/>
    </w:rPr>
  </w:style>
  <w:style w:type="paragraph" w:customStyle="1" w:styleId="18">
    <w:name w:val="列出段落1"/>
    <w:basedOn w:val="1"/>
    <w:qFormat/>
    <w:uiPriority w:val="99"/>
    <w:pPr>
      <w:ind w:firstLine="420" w:firstLineChars="200"/>
    </w:pPr>
  </w:style>
  <w:style w:type="paragraph" w:customStyle="1" w:styleId="19">
    <w:name w:val="_Style 18"/>
    <w:semiHidden/>
    <w:qFormat/>
    <w:uiPriority w:val="99"/>
    <w:rPr>
      <w:rFonts w:ascii="Calibri" w:hAnsi="Calibri" w:eastAsia="宋体" w:cs="Calibri"/>
      <w:kern w:val="2"/>
      <w:sz w:val="21"/>
      <w:szCs w:val="21"/>
      <w:lang w:val="en-US" w:eastAsia="zh-CN" w:bidi="ar-SA"/>
    </w:rPr>
  </w:style>
  <w:style w:type="paragraph" w:customStyle="1" w:styleId="20">
    <w:name w:val="Char Char Char Char"/>
    <w:basedOn w:val="1"/>
    <w:qFormat/>
    <w:uiPriority w:val="0"/>
    <w:pPr>
      <w:tabs>
        <w:tab w:val="left" w:pos="360"/>
      </w:tabs>
      <w:spacing w:beforeLines="50"/>
      <w:ind w:firstLine="200"/>
    </w:pPr>
    <w:rPr>
      <w:rFonts w:ascii="Tahoma" w:hAnsi="Tahoma" w:cs="Times New Roman"/>
      <w:sz w:val="24"/>
      <w:szCs w:val="20"/>
    </w:rPr>
  </w:style>
  <w:style w:type="paragraph" w:customStyle="1" w:styleId="21">
    <w:name w:val="Char Char Char"/>
    <w:basedOn w:val="3"/>
    <w:qFormat/>
    <w:uiPriority w:val="0"/>
    <w:pPr>
      <w:adjustRightInd w:val="0"/>
      <w:spacing w:line="436" w:lineRule="exact"/>
      <w:ind w:left="357"/>
      <w:jc w:val="left"/>
      <w:outlineLvl w:val="3"/>
    </w:pPr>
    <w:rPr>
      <w:rFonts w:ascii="Tahoma" w:hAnsi="Tahoma" w:eastAsia="仿宋_GB2312" w:cs="Times New Roman"/>
      <w:b/>
      <w:sz w:val="24"/>
      <w:szCs w:val="24"/>
    </w:rPr>
  </w:style>
  <w:style w:type="character" w:customStyle="1" w:styleId="22">
    <w:name w:val="批注框文本 Char"/>
    <w:link w:val="8"/>
    <w:semiHidden/>
    <w:qFormat/>
    <w:locked/>
    <w:uiPriority w:val="99"/>
    <w:rPr>
      <w:kern w:val="2"/>
      <w:sz w:val="18"/>
      <w:szCs w:val="18"/>
    </w:rPr>
  </w:style>
  <w:style w:type="character" w:customStyle="1" w:styleId="23">
    <w:name w:val="页脚 Char"/>
    <w:link w:val="9"/>
    <w:qFormat/>
    <w:locked/>
    <w:uiPriority w:val="99"/>
    <w:rPr>
      <w:sz w:val="18"/>
      <w:szCs w:val="18"/>
    </w:rPr>
  </w:style>
  <w:style w:type="character" w:customStyle="1" w:styleId="24">
    <w:name w:val="HTML 预设格式 Char"/>
    <w:link w:val="11"/>
    <w:qFormat/>
    <w:locked/>
    <w:uiPriority w:val="99"/>
    <w:rPr>
      <w:rFonts w:ascii="Arial" w:hAnsi="Arial" w:cs="Arial"/>
      <w:sz w:val="24"/>
      <w:szCs w:val="24"/>
    </w:rPr>
  </w:style>
  <w:style w:type="character" w:customStyle="1" w:styleId="25">
    <w:name w:val="gtp-comp-wrap2"/>
    <w:qFormat/>
    <w:uiPriority w:val="0"/>
  </w:style>
  <w:style w:type="character" w:customStyle="1" w:styleId="26">
    <w:name w:val="批注主题 Char"/>
    <w:basedOn w:val="27"/>
    <w:link w:val="12"/>
    <w:qFormat/>
    <w:uiPriority w:val="0"/>
    <w:rPr>
      <w:rFonts w:ascii="Times New Roman" w:hAnsi="Times New Roman"/>
      <w:kern w:val="2"/>
      <w:sz w:val="21"/>
      <w:szCs w:val="24"/>
    </w:rPr>
  </w:style>
  <w:style w:type="character" w:customStyle="1" w:styleId="27">
    <w:name w:val="批注文字 Char"/>
    <w:link w:val="4"/>
    <w:qFormat/>
    <w:uiPriority w:val="0"/>
    <w:rPr>
      <w:rFonts w:ascii="Times New Roman" w:hAnsi="Times New Roman"/>
      <w:kern w:val="2"/>
      <w:sz w:val="21"/>
      <w:szCs w:val="24"/>
    </w:rPr>
  </w:style>
  <w:style w:type="character" w:customStyle="1" w:styleId="28">
    <w:name w:val="纯文本 Char"/>
    <w:link w:val="6"/>
    <w:qFormat/>
    <w:uiPriority w:val="0"/>
    <w:rPr>
      <w:rFonts w:ascii="宋体" w:hAnsi="Courier New"/>
      <w:kern w:val="2"/>
      <w:sz w:val="21"/>
    </w:rPr>
  </w:style>
  <w:style w:type="character" w:customStyle="1" w:styleId="29">
    <w:name w:val="页眉 Char"/>
    <w:link w:val="10"/>
    <w:qFormat/>
    <w:locked/>
    <w:uiPriority w:val="99"/>
    <w:rPr>
      <w:sz w:val="18"/>
      <w:szCs w:val="18"/>
    </w:rPr>
  </w:style>
  <w:style w:type="character" w:customStyle="1" w:styleId="30">
    <w:name w:val="正文文本缩进 2 Char"/>
    <w:link w:val="7"/>
    <w:semiHidden/>
    <w:qFormat/>
    <w:uiPriority w:val="99"/>
    <w:rPr>
      <w:rFonts w:cs="Calibri"/>
      <w:kern w:val="2"/>
      <w:sz w:val="21"/>
      <w:szCs w:val="21"/>
    </w:rPr>
  </w:style>
  <w:style w:type="character" w:customStyle="1" w:styleId="31">
    <w:name w:val="标题 1 Char"/>
    <w:link w:val="2"/>
    <w:qFormat/>
    <w:uiPriority w:val="0"/>
    <w:rPr>
      <w:rFonts w:ascii="Cambria" w:hAnsi="Cambria" w:eastAsia="宋体" w:cs="Times New Roman"/>
      <w:b/>
      <w:bCs/>
      <w:color w:val="365F91"/>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939</Words>
  <Characters>5353</Characters>
  <Lines>44</Lines>
  <Paragraphs>12</Paragraphs>
  <TotalTime>0</TotalTime>
  <ScaleCrop>false</ScaleCrop>
  <LinksUpToDate>false</LinksUpToDate>
  <CharactersWithSpaces>6280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2021-08-02T13:01:00Z</dcterms:created>
  <dc:creator>xb21cn</dc:creator>
  <cp:lastModifiedBy>Mad Clown</cp:lastModifiedBy>
  <cp:lastPrinted>2019-09-18T06:56:00Z</cp:lastPrinted>
  <dcterms:modified xsi:type="dcterms:W3CDTF">2021-08-03T03:14:47Z</dcterms:modified>
  <dc:title>XXX合同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2E93701E0098491DB4005D30D36EADE1</vt:lpwstr>
  </property>
</Properties>
</file>