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13.救助费用的构成调节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14、1982年伦敦保险协会推出的协会货物条款的特点有哪些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15.ICC（C）条款“损失由…造成”包括的内容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16.我国海运货物运输保险特别附加险有哪些条款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17.我国远洋船舶保险全损责任的责任有哪些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18.我国远洋船舶保险全损险条款中的船员疏忽或过失风险又称（英气马利条款）条款包含哪些内容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19.船舶保险运输条款内容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20.1983年修订的伦敦协会船舶新条款在结构和内容上有哪些特点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21.船员无过失碰撞的内容是什么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22.出口信用保险的特点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23.出口信用保险的经营模式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24.投资保险责任范围有哪些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2024-06-18T06:54:37Z</dcterms:created>
  <dc:creator>iPhone</dc:creator>
  <cp:lastModifiedBy>iPhone</cp:lastModifiedBy>
  <dcterms:modified xsi:type="dcterms:W3CDTF">2024-06-18T06:57:13Z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2052-12.13.3</vt:lpwstr>
  </property>
  <property fmtid="{D5CDD505-2E9C-101B-9397-08002B2CF9AE}" pid="3" name="ICV">
    <vt:lpwstr>DF7B80F07C8C6F1EADBE70663F6FDC2A_31</vt:lpwstr>
  </property>
</Properties>
</file>