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Autospacing="0" w:after="0" w:afterAutospacing="0"/>
        <w:ind w:lef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bookmarkEnd w:id="0"/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核保的概念（</w:t>
      </w:r>
      <w:r>
        <w:rPr>
          <w:rFonts w:hint="default" w:ascii="Calibri" w:hAnsi="Calibri" w:eastAsia="-webkit-standard" w:cs="Calibri"/>
          <w:i w:val="0"/>
          <w:caps w:val="0"/>
          <w:color w:val="FF0000"/>
          <w:spacing w:val="0"/>
          <w:kern w:val="0"/>
          <w:sz w:val="28"/>
          <w:szCs w:val="28"/>
          <w:u w:val="none"/>
          <w:lang w:val="en-US" w:eastAsia="zh-CN" w:bidi="ar"/>
        </w:rPr>
        <w:t>简答/论述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）：保险公司对可保风险进行评判与分类，进而决定是否承包，以什么样的条件承保的分析过程。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（论述）核保的内容：1、核保选择：事前选择：对“人的选择”、对“物”的选择。</w:t>
      </w:r>
    </w:p>
    <w:p>
      <w:pPr>
        <w:widowControl/>
        <w:spacing w:beforeAutospacing="0" w:after="0" w:afterAutospacing="0"/>
        <w:ind w:left="0" w:firstLine="315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                事后选择：期满不续保、注销合同、解除合同。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                2、道德控制：（1）道德风险：是指被保险人或受益人故意制造保险事故，谋取赔款。 （2）心理风险：是投保人或被保险人在参加保险后产生的松懈心里，不再小心防范所面临的自然风险和社会风险，或在保险事故发生时，不积极采取积极措施，任凭损失扩大。</w:t>
      </w:r>
    </w:p>
    <w:p>
      <w:pPr>
        <w:widowControl/>
        <w:spacing w:beforeAutospacing="0" w:after="0" w:afterAutospacing="0"/>
        <w:ind w:lef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计算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1.李某在某时险公司投保了家财险，总保险金销为150万元，其中房屋保险金额100万元，室内时产保险金额50万元。在保险有效期内因火灾造球房屋损失 10万元，室内财产损失5万元。出险时房屋重置价值为120万元(提示，出险时的重置价值即为房屋的保险价值。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请问:(1)家险中房屋和室内材产采用的赔偿方式各是什么?(2)请计算保险公司对李某房屋和室内财产的赔偿金额各是多少?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答：（1）家财险中房屋一般采用比例赔偿方式，室内财产一般采用第一损失赔偿方式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（2）对于房屋的赔偿，保险金额 100 万元，出险时房屋重置价值（保险价值）为 120 万元，损失 10 万元，赔偿金额=10×（100÷120）=8.333（万元）。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对于室内财产，赔偿金额5万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公式：赔偿金额=损失金额*（保险金额/保险价值）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第一损失赔偿方式，只要不超过保额，损失多少赔多少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2.某公司有一批价值500万元的货物分别在A、0.C三家保险公司投保货物运输保险，保额分别公司 200万元、公司300万元、c公司500万元，若运输过程中出险,损失为100万元。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请用三种分摊方式计算三家公司的分摊备备是多少?我国保险法规定重复保险的分排方式是哪一种?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答：限额责任分摊：A赔付限额（200/500）*100=40（万元）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              B赔付限额（500/500）*100=100（万元）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              C赔付限额（300/500）*100=60（万元）</w:t>
      </w:r>
    </w:p>
    <w:p>
      <w:pPr>
        <w:widowControl/>
        <w:spacing w:beforeAutospacing="0" w:after="0" w:afterAutospacing="0"/>
        <w:ind w:left="0" w:firstLine="315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责任比例分摊：A ：100*（200/1000）=20（万元） B： 100*（500/1000）=50（万元）</w:t>
      </w:r>
    </w:p>
    <w:p>
      <w:pPr>
        <w:widowControl/>
        <w:spacing w:beforeAutospacing="0" w:after="0" w:afterAutospacing="0"/>
        <w:ind w:left="0" w:firstLine="315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C：100*（300/1000）=30（万元）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顺序责任分摊 正顺序：A：150万元 B：0万元 C：0万元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               逆顺序：A：0万元 B：0万元 C：150万元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我国保险法规定重复保险的分排方式是：责任比例分摊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限额责任分摊：赔偿金额=（保险金额/保险价值）*损失金额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责任比例分摊：赔偿金额=（保险金额/三家公司的保险金额总和）*损失金额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2024-06-21T04:02:21Z</dcterms:created>
  <dc:creator>iPhone</dc:creator>
  <cp:lastModifiedBy>iPhone</cp:lastModifiedBy>
  <dcterms:modified xsi:type="dcterms:W3CDTF">2024-06-20T13:25:55Z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1607900E99872F2FCDA97366D6034504_31</vt:lpwstr>
  </property>
</Properties>
</file>