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0DDA5">
      <w:pPr>
        <w:jc w:val="center"/>
        <w:rPr>
          <w:rFonts w:hint="default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2024年度护士层级考试判断题库——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97题</w:t>
      </w:r>
    </w:p>
    <w:p w14:paraId="38756FBA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护理文书应当体现“实时性”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（√）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204D6A92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护理文书书写应当：客观、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36"/>
        </w:rPr>
        <w:t>真实、准确、及时、完整、规范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（√）</w:t>
      </w:r>
    </w:p>
    <w:p w14:paraId="3792561F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如需患者签字的护理评估单应及时打印患者签字后入病历。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（√）</w:t>
      </w:r>
    </w:p>
    <w:p w14:paraId="4C8C43A0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体温单用来记录患者体温、脉搏、呼吸。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32038CE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体重填写的要求：入院时测体重。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BD3FDF5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长期医嘱单内签署发送医嘱者姓名及时间；执行护士在打印的医嘱执行单上签署执行时间及姓名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（√）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92D0908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7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护理记录单书写时关于特殊用药：记录时间和主要用药反应。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）</w:t>
      </w:r>
    </w:p>
    <w:p w14:paraId="708F726D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8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抢救记录按抢救时间顺序准确记录患者生命体征、病情变化、用药情况、抢救护理措施、停止抢救时间等，并于抢救结束后24小时内据实补记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A0B0F6B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9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护理记录、体温单、医嘱单、医生的抢救记录的死亡时间不必须一致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D2CCF90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护理记录适用于护士对患者住院期间 病情观察、采取的治疗、护理措施、护理效果的记录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（√）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27ABF0C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本页所有医嘱执行完毕，本班护士核对后，在本页终审核对处签字。（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3391758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打印长嘱执行记录单时，如有试敏药物标记（阴性）。（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）</w:t>
      </w:r>
    </w:p>
    <w:p w14:paraId="2F608D7B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长期医嘱应每日打印并核对，对当日新开长嘱、新停长嘱应分时段打印；当日新停医嘱较对后，及时通知各班护士，并在原长期医嘱项目划红线，标记停止时间并签字。（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BF9E88A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手术、分娩应执行术前、产前医嘱；手术、分娩后执行术后、产后医嘱。（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F5E80D4">
      <w:pPr>
        <w:ind w:firstLine="280" w:firstLineChars="100"/>
        <w:jc w:val="left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因故未能按时执行的医嘱，应及时报告医生并记录。（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237F37C3"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16.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护患沟通是护士与病人之间的信息交流和相互作用的过程。所交流的内容是与病人的护理及康复直接或间接相关的信息，但是不包括双方的思想、感情、愿望和要求等方面的交流。（X）</w:t>
      </w:r>
    </w:p>
    <w:p w14:paraId="3E34FCC1"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17.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语言性沟通指沟通者以语言或文字、类语言的形式将信息发送给接受者的沟通行为。（√）</w:t>
      </w:r>
    </w:p>
    <w:p w14:paraId="311FDE09"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18.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非言语性沟通：不使用语言、文字的沟通，它包括的信息是通过身体运动、面部表情、利用空间、利用声音和触觉产生的，它可以伴随着语言性沟通而发生。（√）</w:t>
      </w:r>
    </w:p>
    <w:p w14:paraId="592CB2EF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19.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护理服务的质量与护理人员的专业技能无关。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0C85486D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20.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护理服务中的沟通技巧对于提高患者满意度至关重要。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（√）</w:t>
      </w:r>
    </w:p>
    <w:p w14:paraId="45C93AA1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21.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护理服务中的标准化流程可以完全替代个性化服务。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0B326CFB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22.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护理人员在提供服务时，应始终保持专业和冷静。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（√）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18CA62DE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23.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护理服务中的持续改进是不必要的，因为护理服务已经足够完善。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4C54FD3E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24.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护理人员可以根据自己的判断，决定是否执行医生的医嘱。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</w:p>
    <w:p w14:paraId="5182FDC2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25.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护理人员在提供服务时，不需要关注患者的宗教信仰。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</w:p>
    <w:p w14:paraId="1E379D1B">
      <w:pPr>
        <w:keepNext w:val="0"/>
        <w:keepLines w:val="0"/>
        <w:widowControl/>
        <w:numPr>
          <w:ilvl w:val="0"/>
          <w:numId w:val="0"/>
        </w:numPr>
        <w:suppressLineNumbers w:val="0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26.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内镜下治疗患者，不需要按手术患者进行护理记录的书写。（×）</w:t>
      </w:r>
    </w:p>
    <w:p w14:paraId="16FC7274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27.患者住院期间测量的血糖值，根据需要选择是否记录在血糖测量记录单上。（×）</w:t>
      </w:r>
    </w:p>
    <w:p w14:paraId="5038530C">
      <w:pPr>
        <w:keepNext w:val="0"/>
        <w:keepLines w:val="0"/>
        <w:widowControl/>
        <w:numPr>
          <w:ilvl w:val="0"/>
          <w:numId w:val="0"/>
        </w:numPr>
        <w:suppressLineNumbers w:val="0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28.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护理记录的每一行结尾需要护士签署全名。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（×）</w:t>
      </w:r>
    </w:p>
    <w:p w14:paraId="05484C41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29.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特殊处置：如患者做胸穿、腰穿、腹穿、鞘内注射、安装起搏器等，应及时记录。（√）</w:t>
      </w:r>
    </w:p>
    <w:p w14:paraId="1AEAAC6E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30.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急诊、手术、ICU、产房、透析、介入、新生儿护理记录单按专科要求记录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（√）</w:t>
      </w:r>
    </w:p>
    <w:p w14:paraId="70B7A10E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31.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三级护理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的护理要点：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每 3 小时巡视患者，观察患者病情变化。根据患者病情，测量生命体征并记录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（√）</w:t>
      </w:r>
    </w:p>
    <w:p w14:paraId="7E845B22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32.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心电监护患者需要在每一次的护理记录中描述心电示波。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（×）</w:t>
      </w:r>
    </w:p>
    <w:p w14:paraId="6AD03CF7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33.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自理能力是指在生活中个体照料自己的行为能力。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（√）</w:t>
      </w:r>
    </w:p>
    <w:p w14:paraId="0C46F921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34.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Barthel 指数：对患者日常生活活动的功能状态进行测量，个体得分取决于对一系列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独立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行为的测量，总分范围在 0-50分。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（×）</w:t>
      </w:r>
    </w:p>
    <w:p w14:paraId="54267B5A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35.三级护理的分级依据：病情稳定或处于康复期，且自理能力轻度依赖或无依赖的患者。（√）</w:t>
      </w:r>
    </w:p>
    <w:p w14:paraId="2CE68894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36.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Barthel 指数评定量表评定细则 ：关于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如厕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的描述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包括去厕所、解开衣裤、擦净、整理衣裤、冲水等过程。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（√）</w:t>
      </w:r>
    </w:p>
    <w:p w14:paraId="4D3C4A0D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0" w:firstLineChars="1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37.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Barthel 指数评定量表评定细则 ：关于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上下楼梯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的描述：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指从双脚站立位，连续上、下台阶的过程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（×）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ab/>
      </w:r>
    </w:p>
    <w:p w14:paraId="2B51051E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.3级放射性皮炎表现为触痛性红斑或鲜红斑，片状湿性脱皮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×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）</w:t>
      </w:r>
    </w:p>
    <w:p w14:paraId="2400716F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39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.1级放射性皮炎可有脱发，干性脱皮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（√）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278EC8F1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.4级放射性皮炎时可使用凡士林油纱局部压迫进行止血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（√）</w:t>
      </w:r>
    </w:p>
    <w:p w14:paraId="5F913507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4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.在出现全层皮肤坏死和溃疡时经多学科会诊治疗后可坚持放疗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×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）</w:t>
      </w:r>
    </w:p>
    <w:p w14:paraId="69A0D6E2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42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.放射性治疗的患者应穿高领的衣物对局部皮肤惊醒保护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×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）</w:t>
      </w:r>
    </w:p>
    <w:p w14:paraId="5146A766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43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失禁性皮炎只发生在婴幼儿和老年人。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5F3793AC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44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正常皮肤是弱酸性，经常使用肥皂可以保护。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0925F674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45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在IAD的防治上，保湿剂比润肤剂更有效果。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5E1C4DBE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失禁性皮炎只能发生在会阴区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0191C140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47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失禁患者清洗皮肤后，宜使用柔软一次性无纺布或吸水毛巾，用轻柔手法拍干皮肤。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（√）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72EA3405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48.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责任护士问候病人及家属，无需向病人及家属说明查房及目的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（√）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31B06444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49.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查房过程中，如果家属或患者提出问题，不予解答继续查房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×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）</w:t>
      </w:r>
    </w:p>
    <w:p w14:paraId="1100B9B9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50.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查房者针对病人的护理问题，组织大会讨论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（√）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712B7DE0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51.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查房要以病人为中心,注重与病人的交流,拉近与病人的距离,用眼光的接触,也可以是手对病人的接触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（√）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4C5763B0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52.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查房要体现团队精神,使病人感到受重视,在查房中要顾及到家属的感受,也应向家属解释护理措施及护理问题以及需要配合的工作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（√）</w:t>
      </w:r>
    </w:p>
    <w:p w14:paraId="1C16FDF0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53.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院外带入的压力性损伤，无需填写压力性损伤上报表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×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）</w:t>
      </w:r>
    </w:p>
    <w:p w14:paraId="624AB7DF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54.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院内发生的压力性损伤，既要填写压力性损伤上报表，又要上报不良事件。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（√）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AEF7DC3">
      <w:pPr>
        <w:numPr>
          <w:ilvl w:val="0"/>
          <w:numId w:val="0"/>
        </w:numPr>
        <w:ind w:left="0" w:leftChars="0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55.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急救车内有效期6个月的药品在安瓿瓶帽粘贴红色标识，物品在正面有字区粘贴红色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标识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。（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）</w:t>
      </w:r>
    </w:p>
    <w:p w14:paraId="484F1528">
      <w:pPr>
        <w:numPr>
          <w:ilvl w:val="0"/>
          <w:numId w:val="0"/>
        </w:numPr>
        <w:ind w:left="0" w:leftChars="0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56.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急救车失效期预警登记记录，每月最后一个工作日，全面检查并详细记录。（ √  ）</w:t>
      </w:r>
    </w:p>
    <w:p w14:paraId="646A9DB0">
      <w:pPr>
        <w:numPr>
          <w:ilvl w:val="0"/>
          <w:numId w:val="0"/>
        </w:numPr>
        <w:ind w:left="0" w:leftChars="0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57.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急救车失效期预警登记记录，效期只填写最近日期，6个月内药品物品用红色填写；数量为实际药品数量。（ √ ）</w:t>
      </w:r>
    </w:p>
    <w:p w14:paraId="1E2DA6B8">
      <w:pPr>
        <w:numPr>
          <w:ilvl w:val="0"/>
          <w:numId w:val="0"/>
        </w:numPr>
        <w:ind w:left="0" w:leftChars="0" w:firstLine="280" w:firstLineChars="1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58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急救车每次粘封前，应全面检查并登记记录。（ √  ）</w:t>
      </w:r>
    </w:p>
    <w:p w14:paraId="1574F475">
      <w:pPr>
        <w:numPr>
          <w:ilvl w:val="0"/>
          <w:numId w:val="0"/>
        </w:numPr>
        <w:ind w:left="0" w:leftChars="0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59.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氧气袋日常可放置于急救车上。（ ×  ）</w:t>
      </w:r>
    </w:p>
    <w:p w14:paraId="1F85EAAA">
      <w:pPr>
        <w:numPr>
          <w:ilvl w:val="0"/>
          <w:numId w:val="0"/>
        </w:numPr>
        <w:ind w:left="0" w:leftChars="0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60.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急救车每班交接，粘贴无异常打√，异常打×，并详细记录于交接记录（2）中。（ √ ）</w:t>
      </w:r>
    </w:p>
    <w:p w14:paraId="3D93D957">
      <w:pPr>
        <w:numPr>
          <w:ilvl w:val="0"/>
          <w:numId w:val="0"/>
        </w:numPr>
        <w:ind w:leftChars="0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61.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急救车交接，异常打×时，不得超过连续三个班次。（ × ）</w:t>
      </w:r>
    </w:p>
    <w:p w14:paraId="029F53CC">
      <w:pPr>
        <w:numPr>
          <w:ilvl w:val="0"/>
          <w:numId w:val="0"/>
        </w:numPr>
        <w:ind w:left="0" w:leftChars="0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62.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急救药箱内药品仅限抢救及应急时使用，禁止随意开启使用。（√）</w:t>
      </w:r>
    </w:p>
    <w:p w14:paraId="6FC8C39A">
      <w:pPr>
        <w:numPr>
          <w:ilvl w:val="0"/>
          <w:numId w:val="0"/>
        </w:numPr>
        <w:ind w:left="0" w:leftChars="0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63.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科室借用急救药箱内药品应于抢救结束后尽快补齐药品并归还，药品外借时，保管科室负责告知辐射科室药箱所在位置，并督促借用科室尽快归还。（ √ ）</w:t>
      </w:r>
    </w:p>
    <w:p w14:paraId="69AFCA97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64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.皮内注射法针头与皮肤呈15°进针。(×） </w:t>
      </w:r>
    </w:p>
    <w:p w14:paraId="2FFAC9A7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65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.药物过敏试验注射部位消毒可选用75%乙醇。（√）</w:t>
      </w:r>
    </w:p>
    <w:p w14:paraId="444E86B4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66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.药物过敏试验结果可由一名专业护士进行判断。（×）</w:t>
      </w:r>
    </w:p>
    <w:p w14:paraId="6773A303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67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.注射青霉素之前，应做好急救的准备工作，注射后观察半小时。（√）</w:t>
      </w:r>
    </w:p>
    <w:p w14:paraId="470741EC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68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.青霉素皮试结果为阴性者，今后再使用青霉素时可免做过敏试验。（×）</w:t>
      </w:r>
    </w:p>
    <w:p w14:paraId="562B193C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6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.青霉素过敏试验可疑阳性者，应用注射用水作对照试验。（×） </w:t>
      </w:r>
    </w:p>
    <w:p w14:paraId="7087E6A6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7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.抢救过敏性休克患者首选的药物是盐酸肾上腺素。（√）</w:t>
      </w:r>
    </w:p>
    <w:p w14:paraId="69C3314B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71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.青霉素皮试液0.1ml含青霉素500u。（×）</w:t>
      </w:r>
    </w:p>
    <w:p w14:paraId="1EF2C27E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72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.青霉素皮试液可保存在4°冰箱中备用。（×）</w:t>
      </w:r>
    </w:p>
    <w:p w14:paraId="0EA1E630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73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.对接受青霉素治疗的患者，如果停药3天以上，必须重新做过敏试验。（√） </w:t>
      </w:r>
    </w:p>
    <w:p w14:paraId="55B4F391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74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.直肠矢状面上的两个弯曲（会阴区和骶曲）在同一条直线上。（×）</w:t>
      </w:r>
    </w:p>
    <w:p w14:paraId="0CB2B69E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75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.小量不保留灌肠适用于腹部或盆腔手术后的患者，危重患者，年老体弱、小儿及孕妇等。（√）</w:t>
      </w:r>
    </w:p>
    <w:p w14:paraId="2440F686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76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.保留灌肠时宜选择22～24号肛管。（×）</w:t>
      </w:r>
    </w:p>
    <w:p w14:paraId="5F097AD5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77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.准确掌握灌肠溶液的温度、流速、压力和溶液的量是预防灌肠并发症的重要措施。（√）</w:t>
      </w:r>
    </w:p>
    <w:p w14:paraId="45AA550B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78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.用同一种液体反复多次灌肠可导致水中毒、电解质紊乱。（√）</w:t>
      </w:r>
    </w:p>
    <w:p w14:paraId="773F4757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79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.灌肠后排便异常增多可导致低钾血症。（√）</w:t>
      </w:r>
    </w:p>
    <w:p w14:paraId="1DC923BE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.灌肠液温度过高，可导致肠道痉挛。（×）</w:t>
      </w:r>
    </w:p>
    <w:p w14:paraId="3E0B2DBB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8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.灌肠时粗暴插管损伤了肛门括约肌或其周围的血管神经，可导致排便困难。（×）</w:t>
      </w:r>
    </w:p>
    <w:p w14:paraId="3A286BA7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82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.为人工肛门患者灌肠时造口应处于低位，有便意时，造口应处于高位。（×）</w:t>
      </w:r>
    </w:p>
    <w:p w14:paraId="28A4CA23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83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.灌肠时充分润滑是指润滑整个肛管。（×）</w:t>
      </w:r>
    </w:p>
    <w:p w14:paraId="709A930E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84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.外周静脉留置针应72--96小时更换一次。（×）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0F207F9D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85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.静脉留置针选择透明或纱布类无菌敷料固定穿刺针，敷料外应注明日期。（√）</w:t>
      </w:r>
    </w:p>
    <w:p w14:paraId="4A2B8558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86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.肠外营养如需存放，应置于4℃冰箱内，并应复温后再输注。（×）</w:t>
      </w:r>
    </w:p>
    <w:p w14:paraId="58C8A11C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87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.抗肿瘤药物时操作者应戴双层手套（内层为PVC手套，外层为橡胶/丁腈手套）。（×）</w:t>
      </w:r>
    </w:p>
    <w:p w14:paraId="2F11899B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88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.患有上腔静脉压迫综合征的患者不宜置入PICC导管。（√）</w:t>
      </w:r>
    </w:p>
    <w:p w14:paraId="453369FD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89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.有血栓史血管手术史的静脉及放疗部位不宜进行置入PICC导管。（√）</w:t>
      </w:r>
    </w:p>
    <w:p w14:paraId="0F21251F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.肠外营养应使用单独输液器匀速输注。（√）</w:t>
      </w:r>
    </w:p>
    <w:p w14:paraId="028A0294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91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.小儿不宜首选头皮静脉。（√）</w:t>
      </w:r>
    </w:p>
    <w:p w14:paraId="64F7A4AE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9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.输液完毕应用导管容积加延长管容积2倍以上的生理盐水或肝素盐水正压封管。（×）</w:t>
      </w:r>
    </w:p>
    <w:p w14:paraId="16FFFC81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93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.输液器应每12小时更换一次，如怀疑被污染或完整性受损时应立即更换。（×）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585C03D8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94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.腋窝淋巴结清扫术侧不宜植入上臂PORT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（√）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5D4C102D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95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.锁骨下淋巴结肿大或有肿块侧、安装起搏器侧不宜在同侧植入PORT（√）</w:t>
      </w:r>
    </w:p>
    <w:p w14:paraId="0901470D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96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.有血栓史或血管手术史的静脉不应植入PORT（×）</w:t>
      </w:r>
    </w:p>
    <w:p w14:paraId="682BE45A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97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.PORT植入及移除后的伤口处理，应遵循ǀ类切口处理原则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（√）</w:t>
      </w:r>
    </w:p>
    <w:p w14:paraId="09B6C8FD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2107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D172A"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ED172A"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DI2M2Q5ZWU3NDA0Mjc4N2E3MjAzNjMwYTcwMGQifQ=="/>
  </w:docVars>
  <w:rsids>
    <w:rsidRoot w:val="2C3421C7"/>
    <w:rsid w:val="2C3421C7"/>
    <w:rsid w:val="48570EBF"/>
    <w:rsid w:val="4B2C5118"/>
    <w:rsid w:val="4F860A4D"/>
    <w:rsid w:val="694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3310</Words>
  <Characters>3478</Characters>
  <Lines>0</Lines>
  <Paragraphs>0</Paragraphs>
  <TotalTime>40</TotalTime>
  <ScaleCrop>false</ScaleCrop>
  <LinksUpToDate>false</LinksUpToDate>
  <CharactersWithSpaces>3632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2024-10-31T02:07:00Z</dcterms:created>
  <dc:creator>婷姐儿</dc:creator>
  <cp:lastModifiedBy>婷姐儿</cp:lastModifiedBy>
  <dcterms:modified xsi:type="dcterms:W3CDTF">2024-10-31T06:47:37Z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A6136B55576B45A0A0F5D34DDAC39403_11</vt:lpwstr>
  </property>
</Properties>
</file>